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7898" w14:textId="77777777" w:rsidR="0019587B" w:rsidRDefault="0019587B" w:rsidP="0019587B">
      <w:pPr>
        <w:spacing w:before="0" w:after="160" w:line="259" w:lineRule="auto"/>
        <w:jc w:val="center"/>
        <w:rPr>
          <w:rFonts w:ascii="Calibri" w:hAnsi="Calibri" w:cs="Calibri"/>
          <w:b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>CANARIAS SUBMARINE LINK, S.L.U.</w:t>
      </w:r>
    </w:p>
    <w:tbl>
      <w:tblPr>
        <w:tblW w:w="9156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3"/>
        <w:gridCol w:w="717"/>
        <w:gridCol w:w="1545"/>
        <w:gridCol w:w="1301"/>
      </w:tblGrid>
      <w:tr w:rsidR="0019587B" w:rsidRPr="009A3851" w14:paraId="75341A0E" w14:textId="77777777" w:rsidTr="004F7FD9">
        <w:trPr>
          <w:trHeight w:val="343"/>
        </w:trPr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</w:tcPr>
          <w:p w14:paraId="35534100" w14:textId="77777777" w:rsidR="0019587B" w:rsidRPr="009A3851" w:rsidRDefault="0019587B" w:rsidP="004F7FD9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Pérdidas y Ganancias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</w:tcPr>
          <w:p w14:paraId="55F17869" w14:textId="77777777" w:rsidR="0019587B" w:rsidRPr="009A3851" w:rsidRDefault="0019587B" w:rsidP="004F7FD9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Nota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</w:tcPr>
          <w:p w14:paraId="2BA54510" w14:textId="77777777" w:rsidR="0019587B" w:rsidRPr="009A3851" w:rsidRDefault="0019587B" w:rsidP="004F7FD9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</w:tcPr>
          <w:p w14:paraId="7E574662" w14:textId="77777777" w:rsidR="0019587B" w:rsidRPr="009A3851" w:rsidRDefault="0019587B" w:rsidP="004F7FD9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2.020</w:t>
            </w:r>
          </w:p>
        </w:tc>
      </w:tr>
      <w:tr w:rsidR="0019587B" w:rsidRPr="009A3851" w14:paraId="08BD54DC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6AD8800C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A) OPERACIONES CONTINUADAS </w:t>
            </w:r>
          </w:p>
        </w:tc>
        <w:tc>
          <w:tcPr>
            <w:tcW w:w="717" w:type="dxa"/>
            <w:noWrap/>
          </w:tcPr>
          <w:p w14:paraId="0EB53B08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9A66052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5ECA0F64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3ADF0B38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626D341E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1. Importe neto de la cifra de negocios </w:t>
            </w:r>
          </w:p>
        </w:tc>
        <w:tc>
          <w:tcPr>
            <w:tcW w:w="717" w:type="dxa"/>
            <w:noWrap/>
          </w:tcPr>
          <w:p w14:paraId="12754595" w14:textId="77777777" w:rsidR="0019587B" w:rsidRPr="009A3851" w:rsidRDefault="0019587B" w:rsidP="004F7FD9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5" w:type="dxa"/>
            <w:noWrap/>
          </w:tcPr>
          <w:p w14:paraId="37FB2113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18.571.179,32</w:t>
            </w:r>
          </w:p>
        </w:tc>
        <w:tc>
          <w:tcPr>
            <w:tcW w:w="1301" w:type="dxa"/>
            <w:noWrap/>
          </w:tcPr>
          <w:p w14:paraId="3830955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19.941.120,19</w:t>
            </w:r>
          </w:p>
        </w:tc>
      </w:tr>
      <w:tr w:rsidR="0019587B" w:rsidRPr="009A3851" w14:paraId="308C5B6F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19BE358B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Ventas </w:t>
            </w:r>
          </w:p>
        </w:tc>
        <w:tc>
          <w:tcPr>
            <w:tcW w:w="717" w:type="dxa"/>
            <w:noWrap/>
          </w:tcPr>
          <w:p w14:paraId="3118D2F0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06118E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480630D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660D63DF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139C7510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Prestaciones de servicios </w:t>
            </w:r>
          </w:p>
        </w:tc>
        <w:tc>
          <w:tcPr>
            <w:tcW w:w="717" w:type="dxa"/>
            <w:noWrap/>
          </w:tcPr>
          <w:p w14:paraId="7443A214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1ADCD1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18.571.179,32</w:t>
            </w:r>
          </w:p>
        </w:tc>
        <w:tc>
          <w:tcPr>
            <w:tcW w:w="1301" w:type="dxa"/>
            <w:noWrap/>
          </w:tcPr>
          <w:p w14:paraId="63A257C1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19.941.120,19</w:t>
            </w:r>
          </w:p>
        </w:tc>
      </w:tr>
      <w:tr w:rsidR="0019587B" w:rsidRPr="009A3851" w14:paraId="0C5E1840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ABD5D45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Ingresos de carácter financiero de las sociedades holding </w:t>
            </w:r>
          </w:p>
        </w:tc>
        <w:tc>
          <w:tcPr>
            <w:tcW w:w="717" w:type="dxa"/>
            <w:noWrap/>
          </w:tcPr>
          <w:p w14:paraId="3DAFF230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1EAF847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4E43714B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60DA3A27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10D5061A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2. Variación de existencias de productos terminados</w:t>
            </w:r>
          </w:p>
        </w:tc>
        <w:tc>
          <w:tcPr>
            <w:tcW w:w="717" w:type="dxa"/>
            <w:noWrap/>
          </w:tcPr>
          <w:p w14:paraId="5757C56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D3D9FF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202FB25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40E00AE4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EF5D5FE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3. Trabajos realizados por la empresa para su activo </w:t>
            </w:r>
          </w:p>
        </w:tc>
        <w:tc>
          <w:tcPr>
            <w:tcW w:w="717" w:type="dxa"/>
            <w:noWrap/>
          </w:tcPr>
          <w:p w14:paraId="281F335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0023234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7F4CD04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695396E6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6E0E9C79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4. Aprovisionamientos </w:t>
            </w:r>
          </w:p>
        </w:tc>
        <w:tc>
          <w:tcPr>
            <w:tcW w:w="717" w:type="dxa"/>
            <w:noWrap/>
          </w:tcPr>
          <w:p w14:paraId="4195D162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B8E6728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-20.734,46</w:t>
            </w:r>
          </w:p>
        </w:tc>
        <w:tc>
          <w:tcPr>
            <w:tcW w:w="1301" w:type="dxa"/>
            <w:noWrap/>
          </w:tcPr>
          <w:p w14:paraId="1118391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-1.029.945,30</w:t>
            </w:r>
          </w:p>
        </w:tc>
      </w:tr>
      <w:tr w:rsidR="0019587B" w:rsidRPr="009A3851" w14:paraId="642EF75C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46D0EA71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Consumo de mercaderías </w:t>
            </w:r>
          </w:p>
        </w:tc>
        <w:tc>
          <w:tcPr>
            <w:tcW w:w="717" w:type="dxa"/>
            <w:noWrap/>
          </w:tcPr>
          <w:p w14:paraId="57BED8A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F8B46B4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2D2449C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1CCEBC66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8D47ABB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Consumo de materias primas y o/materias consumibles </w:t>
            </w:r>
          </w:p>
        </w:tc>
        <w:tc>
          <w:tcPr>
            <w:tcW w:w="717" w:type="dxa"/>
            <w:noWrap/>
          </w:tcPr>
          <w:p w14:paraId="0A7550DF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1AC3515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-20.734,46</w:t>
            </w:r>
          </w:p>
        </w:tc>
        <w:tc>
          <w:tcPr>
            <w:tcW w:w="1301" w:type="dxa"/>
            <w:noWrap/>
          </w:tcPr>
          <w:p w14:paraId="567D37B3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-1.029.945,30</w:t>
            </w:r>
          </w:p>
        </w:tc>
      </w:tr>
      <w:tr w:rsidR="0019587B" w:rsidRPr="009A3851" w14:paraId="404C01E5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421E5DE3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Trabajos realizados por otras empresas </w:t>
            </w:r>
          </w:p>
        </w:tc>
        <w:tc>
          <w:tcPr>
            <w:tcW w:w="717" w:type="dxa"/>
            <w:noWrap/>
          </w:tcPr>
          <w:p w14:paraId="22049639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503CA7F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1D7C300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29832293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EF1773F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d) Deterioro de mercaderías y otros aprovisionamientos </w:t>
            </w:r>
          </w:p>
        </w:tc>
        <w:tc>
          <w:tcPr>
            <w:tcW w:w="717" w:type="dxa"/>
            <w:noWrap/>
          </w:tcPr>
          <w:p w14:paraId="5078898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3B419BA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5EFCF65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18D79618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6D2395F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5. Otros ingresos de explotación </w:t>
            </w:r>
          </w:p>
        </w:tc>
        <w:tc>
          <w:tcPr>
            <w:tcW w:w="717" w:type="dxa"/>
            <w:noWrap/>
          </w:tcPr>
          <w:p w14:paraId="69EFAE6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B037F4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2.013,59</w:t>
            </w:r>
          </w:p>
        </w:tc>
        <w:tc>
          <w:tcPr>
            <w:tcW w:w="1301" w:type="dxa"/>
            <w:noWrap/>
          </w:tcPr>
          <w:p w14:paraId="4036FEB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19.622,68</w:t>
            </w:r>
          </w:p>
        </w:tc>
      </w:tr>
      <w:tr w:rsidR="0019587B" w:rsidRPr="009A3851" w14:paraId="3DA7F9EF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1A5CCBF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Ingresos accesorios y otros de gestión corriente </w:t>
            </w:r>
          </w:p>
        </w:tc>
        <w:tc>
          <w:tcPr>
            <w:tcW w:w="717" w:type="dxa"/>
            <w:noWrap/>
          </w:tcPr>
          <w:p w14:paraId="70AC6D70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1EF486B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2.013,59</w:t>
            </w:r>
          </w:p>
        </w:tc>
        <w:tc>
          <w:tcPr>
            <w:tcW w:w="1301" w:type="dxa"/>
            <w:noWrap/>
          </w:tcPr>
          <w:p w14:paraId="73B9E58B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19.622,68</w:t>
            </w:r>
          </w:p>
        </w:tc>
      </w:tr>
      <w:tr w:rsidR="0019587B" w:rsidRPr="009A3851" w14:paraId="2BDA29EE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02C2A27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Subvenciones explotación incorporadas al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Rtdo.ejercicio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6959FC52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3C31D432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5EA6460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3CDE50FA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6B8754B1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6. Gastos de personal </w:t>
            </w:r>
          </w:p>
        </w:tc>
        <w:tc>
          <w:tcPr>
            <w:tcW w:w="717" w:type="dxa"/>
            <w:noWrap/>
          </w:tcPr>
          <w:p w14:paraId="41C9043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7B35379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-586.253,16</w:t>
            </w:r>
          </w:p>
        </w:tc>
        <w:tc>
          <w:tcPr>
            <w:tcW w:w="1301" w:type="dxa"/>
            <w:noWrap/>
          </w:tcPr>
          <w:p w14:paraId="15962A38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-728.162,18</w:t>
            </w:r>
          </w:p>
        </w:tc>
      </w:tr>
      <w:tr w:rsidR="0019587B" w:rsidRPr="009A3851" w14:paraId="00C47D76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7D56E39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Sueldos, salarios y asimilados </w:t>
            </w:r>
          </w:p>
        </w:tc>
        <w:tc>
          <w:tcPr>
            <w:tcW w:w="717" w:type="dxa"/>
            <w:noWrap/>
          </w:tcPr>
          <w:p w14:paraId="11F24DA9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79A14C7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-433.704,80</w:t>
            </w:r>
          </w:p>
        </w:tc>
        <w:tc>
          <w:tcPr>
            <w:tcW w:w="1301" w:type="dxa"/>
            <w:noWrap/>
          </w:tcPr>
          <w:p w14:paraId="0D1BDB9B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-493.530,60</w:t>
            </w:r>
          </w:p>
        </w:tc>
      </w:tr>
      <w:tr w:rsidR="0019587B" w:rsidRPr="009A3851" w14:paraId="63575F65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D0DDB88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Cargas sociales </w:t>
            </w:r>
          </w:p>
        </w:tc>
        <w:tc>
          <w:tcPr>
            <w:tcW w:w="717" w:type="dxa"/>
            <w:noWrap/>
          </w:tcPr>
          <w:p w14:paraId="67ABA4B5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3EDA90D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-152.548,36</w:t>
            </w:r>
          </w:p>
        </w:tc>
        <w:tc>
          <w:tcPr>
            <w:tcW w:w="1301" w:type="dxa"/>
            <w:noWrap/>
          </w:tcPr>
          <w:p w14:paraId="61F3DC4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-234.631,58</w:t>
            </w:r>
          </w:p>
        </w:tc>
      </w:tr>
      <w:tr w:rsidR="0019587B" w:rsidRPr="009A3851" w14:paraId="5644009B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9F39556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Provisiones </w:t>
            </w:r>
          </w:p>
        </w:tc>
        <w:tc>
          <w:tcPr>
            <w:tcW w:w="717" w:type="dxa"/>
            <w:noWrap/>
          </w:tcPr>
          <w:p w14:paraId="00B4D073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33AD74D7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20682444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14650EAB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9D82FD6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7. Otros gastos de explotación </w:t>
            </w:r>
          </w:p>
        </w:tc>
        <w:tc>
          <w:tcPr>
            <w:tcW w:w="717" w:type="dxa"/>
            <w:noWrap/>
          </w:tcPr>
          <w:p w14:paraId="45AFE7B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5" w:type="dxa"/>
            <w:noWrap/>
          </w:tcPr>
          <w:p w14:paraId="0859B340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-8.521.627,11</w:t>
            </w:r>
          </w:p>
        </w:tc>
        <w:tc>
          <w:tcPr>
            <w:tcW w:w="1301" w:type="dxa"/>
            <w:noWrap/>
          </w:tcPr>
          <w:p w14:paraId="743E4835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-7.694.911,73</w:t>
            </w:r>
          </w:p>
        </w:tc>
      </w:tr>
      <w:tr w:rsidR="0019587B" w:rsidRPr="009A3851" w14:paraId="4D47A729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3F081E1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Servicios exteriores </w:t>
            </w:r>
          </w:p>
        </w:tc>
        <w:tc>
          <w:tcPr>
            <w:tcW w:w="717" w:type="dxa"/>
            <w:noWrap/>
          </w:tcPr>
          <w:p w14:paraId="3CB33A5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2D26F94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-8.059.897,93</w:t>
            </w:r>
          </w:p>
        </w:tc>
        <w:tc>
          <w:tcPr>
            <w:tcW w:w="1301" w:type="dxa"/>
            <w:noWrap/>
          </w:tcPr>
          <w:p w14:paraId="1E0F554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-7.854.888,47</w:t>
            </w:r>
          </w:p>
        </w:tc>
      </w:tr>
      <w:tr w:rsidR="0019587B" w:rsidRPr="009A3851" w14:paraId="08B6866B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0E4C156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Tributos </w:t>
            </w:r>
          </w:p>
        </w:tc>
        <w:tc>
          <w:tcPr>
            <w:tcW w:w="717" w:type="dxa"/>
            <w:noWrap/>
          </w:tcPr>
          <w:p w14:paraId="72D9DA3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A95E90B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-408.747,91</w:t>
            </w:r>
          </w:p>
        </w:tc>
        <w:tc>
          <w:tcPr>
            <w:tcW w:w="1301" w:type="dxa"/>
            <w:noWrap/>
          </w:tcPr>
          <w:p w14:paraId="541A1C24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-380.023,20</w:t>
            </w:r>
          </w:p>
        </w:tc>
      </w:tr>
      <w:tr w:rsidR="0019587B" w:rsidRPr="009A3851" w14:paraId="06156F3B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D4F7B94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Pérdidas, deterioro y variación prov. por operaciones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ciales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4D44CC42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35CE49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7DBAE5F9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540.000,00</w:t>
            </w:r>
          </w:p>
        </w:tc>
      </w:tr>
      <w:tr w:rsidR="0019587B" w:rsidRPr="009A3851" w14:paraId="48B7A6D9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F58E1F4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d) Otros gastos de gestión corriente </w:t>
            </w:r>
          </w:p>
        </w:tc>
        <w:tc>
          <w:tcPr>
            <w:tcW w:w="717" w:type="dxa"/>
            <w:noWrap/>
          </w:tcPr>
          <w:p w14:paraId="0FE13E5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F2123E9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-52.981,27</w:t>
            </w:r>
          </w:p>
        </w:tc>
        <w:tc>
          <w:tcPr>
            <w:tcW w:w="1301" w:type="dxa"/>
            <w:noWrap/>
          </w:tcPr>
          <w:p w14:paraId="456B841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-0,06</w:t>
            </w:r>
          </w:p>
        </w:tc>
      </w:tr>
      <w:tr w:rsidR="0019587B" w:rsidRPr="009A3851" w14:paraId="0965291F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48889EA9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e) Gastos por emisión de gases de efecto invernadero </w:t>
            </w:r>
          </w:p>
        </w:tc>
        <w:tc>
          <w:tcPr>
            <w:tcW w:w="717" w:type="dxa"/>
            <w:noWrap/>
          </w:tcPr>
          <w:p w14:paraId="3C3B8C57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383C25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00C4650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00787EE3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8E740BD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8. Amortización del inmovilizado </w:t>
            </w:r>
          </w:p>
        </w:tc>
        <w:tc>
          <w:tcPr>
            <w:tcW w:w="717" w:type="dxa"/>
            <w:noWrap/>
          </w:tcPr>
          <w:p w14:paraId="2AAB53A9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5-7</w:t>
            </w:r>
          </w:p>
        </w:tc>
        <w:tc>
          <w:tcPr>
            <w:tcW w:w="1545" w:type="dxa"/>
            <w:noWrap/>
          </w:tcPr>
          <w:p w14:paraId="09B5570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-4.796.550,79</w:t>
            </w:r>
          </w:p>
        </w:tc>
        <w:tc>
          <w:tcPr>
            <w:tcW w:w="1301" w:type="dxa"/>
            <w:noWrap/>
          </w:tcPr>
          <w:p w14:paraId="0CD91E9F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-3.892.875,91</w:t>
            </w:r>
          </w:p>
        </w:tc>
      </w:tr>
      <w:tr w:rsidR="0019587B" w:rsidRPr="009A3851" w14:paraId="32D2ED29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9A88061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9. Imputación de subvenciones inmovilizado no financiero</w:t>
            </w:r>
          </w:p>
        </w:tc>
        <w:tc>
          <w:tcPr>
            <w:tcW w:w="717" w:type="dxa"/>
            <w:noWrap/>
          </w:tcPr>
          <w:p w14:paraId="4051C405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BD9D90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0F68640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26939080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60E11EB3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10. Excesos de provisiones </w:t>
            </w:r>
          </w:p>
        </w:tc>
        <w:tc>
          <w:tcPr>
            <w:tcW w:w="717" w:type="dxa"/>
            <w:noWrap/>
          </w:tcPr>
          <w:p w14:paraId="3763ACF1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5EE7352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27CAB522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81.783,13</w:t>
            </w:r>
          </w:p>
        </w:tc>
      </w:tr>
      <w:tr w:rsidR="0019587B" w:rsidRPr="009A3851" w14:paraId="570BD3B0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61B4C5B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11. Deterioro y resultado por enajenaciones del inmovilizado </w:t>
            </w:r>
          </w:p>
        </w:tc>
        <w:tc>
          <w:tcPr>
            <w:tcW w:w="717" w:type="dxa"/>
            <w:noWrap/>
          </w:tcPr>
          <w:p w14:paraId="604CE7F8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16BF5A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25BCCCD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20544E22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BC4DC04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Deterioro y pérdidas </w:t>
            </w:r>
          </w:p>
        </w:tc>
        <w:tc>
          <w:tcPr>
            <w:tcW w:w="717" w:type="dxa"/>
            <w:noWrap/>
          </w:tcPr>
          <w:p w14:paraId="4A397C24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A5C4021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6014FDA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5E4F92C1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D462CFD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Resultados por enajenaciones y otras </w:t>
            </w:r>
          </w:p>
        </w:tc>
        <w:tc>
          <w:tcPr>
            <w:tcW w:w="717" w:type="dxa"/>
            <w:noWrap/>
          </w:tcPr>
          <w:p w14:paraId="6838E06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9064209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302032F4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437CBC07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DBDE755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12. Diferencia negativa de combinaciones de negocio </w:t>
            </w:r>
          </w:p>
        </w:tc>
        <w:tc>
          <w:tcPr>
            <w:tcW w:w="717" w:type="dxa"/>
            <w:noWrap/>
          </w:tcPr>
          <w:p w14:paraId="69606CF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33410557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6076AAA1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25A2F325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34634B5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13. Otros resultados </w:t>
            </w:r>
          </w:p>
        </w:tc>
        <w:tc>
          <w:tcPr>
            <w:tcW w:w="717" w:type="dxa"/>
            <w:noWrap/>
          </w:tcPr>
          <w:p w14:paraId="5760C743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36C9486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-2.812,80</w:t>
            </w:r>
          </w:p>
        </w:tc>
        <w:tc>
          <w:tcPr>
            <w:tcW w:w="1301" w:type="dxa"/>
            <w:noWrap/>
          </w:tcPr>
          <w:p w14:paraId="62EC7DC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-19.667,12</w:t>
            </w:r>
          </w:p>
        </w:tc>
      </w:tr>
      <w:tr w:rsidR="0019587B" w:rsidRPr="009A3851" w14:paraId="32A2E144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756ABD4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A.1) RESULTADO DE EXPLOTACIÓN (1+2+3+4+5+6+7+8+9+10+11+12+13) </w:t>
            </w:r>
          </w:p>
        </w:tc>
        <w:tc>
          <w:tcPr>
            <w:tcW w:w="717" w:type="dxa"/>
            <w:noWrap/>
          </w:tcPr>
          <w:p w14:paraId="530AD89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2247E0F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4.645.214,59</w:t>
            </w:r>
          </w:p>
        </w:tc>
        <w:tc>
          <w:tcPr>
            <w:tcW w:w="1301" w:type="dxa"/>
            <w:noWrap/>
          </w:tcPr>
          <w:p w14:paraId="2D04F7CB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6.676.963,76</w:t>
            </w:r>
          </w:p>
        </w:tc>
      </w:tr>
      <w:tr w:rsidR="0019587B" w:rsidRPr="009A3851" w14:paraId="37AC68FB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DA8C239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14. Ingresos financieros </w:t>
            </w:r>
          </w:p>
        </w:tc>
        <w:tc>
          <w:tcPr>
            <w:tcW w:w="717" w:type="dxa"/>
            <w:noWrap/>
          </w:tcPr>
          <w:p w14:paraId="3E2FDA5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CD879C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995,03</w:t>
            </w:r>
          </w:p>
        </w:tc>
        <w:tc>
          <w:tcPr>
            <w:tcW w:w="1301" w:type="dxa"/>
            <w:noWrap/>
          </w:tcPr>
          <w:p w14:paraId="27C47AE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656.711,06</w:t>
            </w:r>
          </w:p>
        </w:tc>
      </w:tr>
      <w:tr w:rsidR="0019587B" w:rsidRPr="009A3851" w14:paraId="48D26993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6C443654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De participaciones en instrumentos de patrimonio </w:t>
            </w:r>
          </w:p>
        </w:tc>
        <w:tc>
          <w:tcPr>
            <w:tcW w:w="717" w:type="dxa"/>
            <w:noWrap/>
          </w:tcPr>
          <w:p w14:paraId="0FE529DB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5837B6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40,95</w:t>
            </w:r>
          </w:p>
        </w:tc>
        <w:tc>
          <w:tcPr>
            <w:tcW w:w="1301" w:type="dxa"/>
            <w:noWrap/>
          </w:tcPr>
          <w:p w14:paraId="00228EF1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250,04</w:t>
            </w:r>
          </w:p>
        </w:tc>
      </w:tr>
      <w:tr w:rsidR="0019587B" w:rsidRPr="009A3851" w14:paraId="306743FA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4B2904D2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a1) En empresas del grupo y asociadas </w:t>
            </w:r>
          </w:p>
        </w:tc>
        <w:tc>
          <w:tcPr>
            <w:tcW w:w="717" w:type="dxa"/>
            <w:noWrap/>
          </w:tcPr>
          <w:p w14:paraId="7FAABB09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3D644C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40,95</w:t>
            </w:r>
          </w:p>
        </w:tc>
        <w:tc>
          <w:tcPr>
            <w:tcW w:w="1301" w:type="dxa"/>
            <w:noWrap/>
          </w:tcPr>
          <w:p w14:paraId="5E1A421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250,04</w:t>
            </w:r>
          </w:p>
        </w:tc>
      </w:tr>
      <w:tr w:rsidR="0019587B" w:rsidRPr="009A3851" w14:paraId="108ADD69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4A7A7D0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a2) En terceros </w:t>
            </w:r>
          </w:p>
        </w:tc>
        <w:tc>
          <w:tcPr>
            <w:tcW w:w="717" w:type="dxa"/>
            <w:noWrap/>
          </w:tcPr>
          <w:p w14:paraId="2EDD8FCF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4E2C95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0B532A4F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5B422338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A5CCE46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De valores negociables y otros instrumentos financieros </w:t>
            </w:r>
          </w:p>
        </w:tc>
        <w:tc>
          <w:tcPr>
            <w:tcW w:w="717" w:type="dxa"/>
            <w:noWrap/>
          </w:tcPr>
          <w:p w14:paraId="15623810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740D6F1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954,08</w:t>
            </w:r>
          </w:p>
        </w:tc>
        <w:tc>
          <w:tcPr>
            <w:tcW w:w="1301" w:type="dxa"/>
            <w:noWrap/>
          </w:tcPr>
          <w:p w14:paraId="426C994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656.461,02</w:t>
            </w:r>
          </w:p>
        </w:tc>
      </w:tr>
      <w:tr w:rsidR="0019587B" w:rsidRPr="009A3851" w14:paraId="4B9FFA9D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134E0C0A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b1) De empresas del grupo y asociadas </w:t>
            </w:r>
          </w:p>
        </w:tc>
        <w:tc>
          <w:tcPr>
            <w:tcW w:w="717" w:type="dxa"/>
            <w:noWrap/>
          </w:tcPr>
          <w:p w14:paraId="3430964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702EA6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55E84B5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00E691A1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35E2BFB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b2) De terceros </w:t>
            </w:r>
          </w:p>
        </w:tc>
        <w:tc>
          <w:tcPr>
            <w:tcW w:w="717" w:type="dxa"/>
            <w:noWrap/>
          </w:tcPr>
          <w:p w14:paraId="5ECA18F1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A2BD0D0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954,08</w:t>
            </w:r>
          </w:p>
        </w:tc>
        <w:tc>
          <w:tcPr>
            <w:tcW w:w="1301" w:type="dxa"/>
            <w:noWrap/>
          </w:tcPr>
          <w:p w14:paraId="4DF66752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656.461,02</w:t>
            </w:r>
          </w:p>
        </w:tc>
      </w:tr>
      <w:tr w:rsidR="0019587B" w:rsidRPr="009A3851" w14:paraId="452D2E88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86D82FD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Imputación de subvenciones de carácter financiero </w:t>
            </w:r>
          </w:p>
        </w:tc>
        <w:tc>
          <w:tcPr>
            <w:tcW w:w="717" w:type="dxa"/>
            <w:noWrap/>
          </w:tcPr>
          <w:p w14:paraId="0C46F1E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8BB605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676C6A0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2810B406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15EE33B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15. Gastos financieros </w:t>
            </w:r>
          </w:p>
        </w:tc>
        <w:tc>
          <w:tcPr>
            <w:tcW w:w="717" w:type="dxa"/>
            <w:noWrap/>
          </w:tcPr>
          <w:p w14:paraId="604047B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D0D20D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-32.318,07</w:t>
            </w:r>
          </w:p>
        </w:tc>
        <w:tc>
          <w:tcPr>
            <w:tcW w:w="1301" w:type="dxa"/>
            <w:noWrap/>
          </w:tcPr>
          <w:p w14:paraId="1BB273C9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-69.485,03</w:t>
            </w:r>
          </w:p>
        </w:tc>
      </w:tr>
      <w:tr w:rsidR="0019587B" w:rsidRPr="009A3851" w14:paraId="562DD875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3D70107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Por deudas con empresas del grupo y asociadas </w:t>
            </w:r>
          </w:p>
        </w:tc>
        <w:tc>
          <w:tcPr>
            <w:tcW w:w="717" w:type="dxa"/>
            <w:noWrap/>
          </w:tcPr>
          <w:p w14:paraId="0A4F41E3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D9F5AD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056D8903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2E8EE11A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7D5EC54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Por deudas con terceros </w:t>
            </w:r>
          </w:p>
        </w:tc>
        <w:tc>
          <w:tcPr>
            <w:tcW w:w="717" w:type="dxa"/>
            <w:noWrap/>
          </w:tcPr>
          <w:p w14:paraId="24D8149B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09B39BB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-32.318,07</w:t>
            </w:r>
          </w:p>
        </w:tc>
        <w:tc>
          <w:tcPr>
            <w:tcW w:w="1301" w:type="dxa"/>
            <w:noWrap/>
          </w:tcPr>
          <w:p w14:paraId="2E026FF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-69.485,03</w:t>
            </w:r>
          </w:p>
        </w:tc>
      </w:tr>
      <w:tr w:rsidR="0019587B" w:rsidRPr="009A3851" w14:paraId="4505E3BE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A5E7205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Por actualización de provisiones </w:t>
            </w:r>
          </w:p>
        </w:tc>
        <w:tc>
          <w:tcPr>
            <w:tcW w:w="717" w:type="dxa"/>
            <w:noWrap/>
          </w:tcPr>
          <w:p w14:paraId="5448FFE8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F8E5C2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6372C53F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664EEF56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DFED268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16. Variación de valor razonable en instrumentos financieros </w:t>
            </w:r>
          </w:p>
        </w:tc>
        <w:tc>
          <w:tcPr>
            <w:tcW w:w="717" w:type="dxa"/>
            <w:noWrap/>
          </w:tcPr>
          <w:p w14:paraId="03DAA638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76275BE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5EFE8C08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09951B7D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D40ADAD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Cartera de negociación y otros </w:t>
            </w:r>
          </w:p>
        </w:tc>
        <w:tc>
          <w:tcPr>
            <w:tcW w:w="717" w:type="dxa"/>
            <w:noWrap/>
          </w:tcPr>
          <w:p w14:paraId="3553B438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735913F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0D1213F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390C53A4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84C50B2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17. Diferencias de cambio </w:t>
            </w:r>
          </w:p>
        </w:tc>
        <w:tc>
          <w:tcPr>
            <w:tcW w:w="717" w:type="dxa"/>
            <w:noWrap/>
          </w:tcPr>
          <w:p w14:paraId="62C07EA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DC88DA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-55.959,76</w:t>
            </w:r>
          </w:p>
        </w:tc>
        <w:tc>
          <w:tcPr>
            <w:tcW w:w="1301" w:type="dxa"/>
            <w:noWrap/>
          </w:tcPr>
          <w:p w14:paraId="61EF6BED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-11.735,88</w:t>
            </w:r>
          </w:p>
        </w:tc>
      </w:tr>
      <w:tr w:rsidR="0019587B" w:rsidRPr="009A3851" w14:paraId="3699CFD8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8F18DAD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18. Deterioro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Rtdo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por enajenaciones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instrum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financieros </w:t>
            </w:r>
          </w:p>
        </w:tc>
        <w:tc>
          <w:tcPr>
            <w:tcW w:w="717" w:type="dxa"/>
            <w:noWrap/>
          </w:tcPr>
          <w:p w14:paraId="55D4EA2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428D9B9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-6.880,10</w:t>
            </w:r>
          </w:p>
        </w:tc>
        <w:tc>
          <w:tcPr>
            <w:tcW w:w="1301" w:type="dxa"/>
            <w:noWrap/>
          </w:tcPr>
          <w:p w14:paraId="0E358772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19587B" w:rsidRPr="009A3851" w14:paraId="04C67224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45C76A7C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Deterioros y pérdidas </w:t>
            </w:r>
          </w:p>
        </w:tc>
        <w:tc>
          <w:tcPr>
            <w:tcW w:w="717" w:type="dxa"/>
            <w:noWrap/>
          </w:tcPr>
          <w:p w14:paraId="0E4CE8C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378B941B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00BD99EB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40EE0C18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4C15712C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Resultados por enajenaciones y otras </w:t>
            </w:r>
          </w:p>
        </w:tc>
        <w:tc>
          <w:tcPr>
            <w:tcW w:w="717" w:type="dxa"/>
            <w:noWrap/>
          </w:tcPr>
          <w:p w14:paraId="6DA37CC1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33F5FBE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-6.880,10</w:t>
            </w:r>
          </w:p>
        </w:tc>
        <w:tc>
          <w:tcPr>
            <w:tcW w:w="1301" w:type="dxa"/>
            <w:noWrap/>
          </w:tcPr>
          <w:p w14:paraId="7ECE06F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19587B" w:rsidRPr="009A3851" w14:paraId="41856641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752D0F6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19. Otros ingresos y gastos de carácter financiero </w:t>
            </w:r>
          </w:p>
        </w:tc>
        <w:tc>
          <w:tcPr>
            <w:tcW w:w="717" w:type="dxa"/>
            <w:noWrap/>
          </w:tcPr>
          <w:p w14:paraId="0F27117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8D68AA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099202E3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0A10A7B7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5B09066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Incorporación al activo de gastos financieros </w:t>
            </w:r>
          </w:p>
        </w:tc>
        <w:tc>
          <w:tcPr>
            <w:tcW w:w="717" w:type="dxa"/>
            <w:noWrap/>
          </w:tcPr>
          <w:p w14:paraId="51A06927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1EEDDA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13BB0DE4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72548CB9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BFEE0B0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Ingresos financieros derivados de convenios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acreed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3BFE852C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E47BC88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11187531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5E4D882C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0A790B1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Resto de ingresos y gastos </w:t>
            </w:r>
          </w:p>
        </w:tc>
        <w:tc>
          <w:tcPr>
            <w:tcW w:w="717" w:type="dxa"/>
            <w:noWrap/>
          </w:tcPr>
          <w:p w14:paraId="276696F7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5BA5235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77F071E0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78D44EFE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F6DEC1B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A.2) RESULTADO FINANCIERO (14+15+16+17+18+19) </w:t>
            </w:r>
          </w:p>
        </w:tc>
        <w:tc>
          <w:tcPr>
            <w:tcW w:w="717" w:type="dxa"/>
            <w:noWrap/>
          </w:tcPr>
          <w:p w14:paraId="1707A5C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B6F47D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-94.162,90</w:t>
            </w:r>
          </w:p>
        </w:tc>
        <w:tc>
          <w:tcPr>
            <w:tcW w:w="1301" w:type="dxa"/>
            <w:noWrap/>
          </w:tcPr>
          <w:p w14:paraId="1724C633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575.490,15</w:t>
            </w:r>
          </w:p>
        </w:tc>
      </w:tr>
      <w:tr w:rsidR="0019587B" w:rsidRPr="009A3851" w14:paraId="697F7D1B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3E75685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A.3) RESULTADO ANTES DE IMPUESTOS (A.1+A.2) </w:t>
            </w:r>
          </w:p>
        </w:tc>
        <w:tc>
          <w:tcPr>
            <w:tcW w:w="717" w:type="dxa"/>
            <w:noWrap/>
          </w:tcPr>
          <w:p w14:paraId="5CEEE3B0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3A1B9B1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4.551.051,69</w:t>
            </w:r>
          </w:p>
        </w:tc>
        <w:tc>
          <w:tcPr>
            <w:tcW w:w="1301" w:type="dxa"/>
            <w:noWrap/>
          </w:tcPr>
          <w:p w14:paraId="7E5DA492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7.252.453,91</w:t>
            </w:r>
          </w:p>
        </w:tc>
      </w:tr>
      <w:tr w:rsidR="0019587B" w:rsidRPr="009A3851" w14:paraId="428A7894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AEF6F9D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20. Impuestos sobre beneficios </w:t>
            </w:r>
          </w:p>
        </w:tc>
        <w:tc>
          <w:tcPr>
            <w:tcW w:w="717" w:type="dxa"/>
            <w:noWrap/>
          </w:tcPr>
          <w:p w14:paraId="2E99CF13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11.2</w:t>
            </w: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DA9DB1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-770.037,25</w:t>
            </w:r>
          </w:p>
        </w:tc>
        <w:tc>
          <w:tcPr>
            <w:tcW w:w="1301" w:type="dxa"/>
            <w:noWrap/>
          </w:tcPr>
          <w:p w14:paraId="58474E0F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-1.477.019,77</w:t>
            </w:r>
          </w:p>
        </w:tc>
      </w:tr>
      <w:tr w:rsidR="0019587B" w:rsidRPr="009A3851" w14:paraId="2113BCEA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</w:tcPr>
          <w:p w14:paraId="5540AB84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A.4) RESULTADO DEL EJERCICIO PROCEDENTE DE OP. CONTINUADAS (A.3+20) </w:t>
            </w:r>
          </w:p>
        </w:tc>
        <w:tc>
          <w:tcPr>
            <w:tcW w:w="717" w:type="dxa"/>
            <w:noWrap/>
          </w:tcPr>
          <w:p w14:paraId="2D00DA6B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4C81131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3.781.014,44</w:t>
            </w:r>
          </w:p>
        </w:tc>
        <w:tc>
          <w:tcPr>
            <w:tcW w:w="1301" w:type="dxa"/>
            <w:noWrap/>
          </w:tcPr>
          <w:p w14:paraId="5A4841DE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5.775.434,14</w:t>
            </w:r>
          </w:p>
        </w:tc>
      </w:tr>
      <w:tr w:rsidR="0019587B" w:rsidRPr="009A3851" w14:paraId="05DD4AF4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D4319A1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B) OPERACIONES INTERRUMPIDAS </w:t>
            </w:r>
          </w:p>
        </w:tc>
        <w:tc>
          <w:tcPr>
            <w:tcW w:w="717" w:type="dxa"/>
            <w:noWrap/>
          </w:tcPr>
          <w:p w14:paraId="623AE6F0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8BA80E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75EFA6C2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455E2A8A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15912A77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21.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Rtdo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del ejercicio procedente de operaciones interrumpidas neto de impuestos </w:t>
            </w:r>
          </w:p>
        </w:tc>
        <w:tc>
          <w:tcPr>
            <w:tcW w:w="717" w:type="dxa"/>
            <w:noWrap/>
          </w:tcPr>
          <w:p w14:paraId="7D16D711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70459E1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39CE9606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87B" w:rsidRPr="009A3851" w14:paraId="2FB117F6" w14:textId="77777777" w:rsidTr="004F7FD9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4892B91D" w14:textId="77777777" w:rsidR="0019587B" w:rsidRPr="009A3851" w:rsidRDefault="0019587B" w:rsidP="004F7FD9">
            <w:pPr>
              <w:suppressAutoHyphens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A.5) RESULTADO DEL EJERCICIO (A.4+21) </w:t>
            </w:r>
          </w:p>
        </w:tc>
        <w:tc>
          <w:tcPr>
            <w:tcW w:w="717" w:type="dxa"/>
            <w:noWrap/>
          </w:tcPr>
          <w:p w14:paraId="3FD4643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215E4FA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3.781.014,44</w:t>
            </w:r>
          </w:p>
        </w:tc>
        <w:tc>
          <w:tcPr>
            <w:tcW w:w="1301" w:type="dxa"/>
            <w:noWrap/>
          </w:tcPr>
          <w:p w14:paraId="2CFE37D8" w14:textId="77777777" w:rsidR="0019587B" w:rsidRPr="009A3851" w:rsidRDefault="0019587B" w:rsidP="004F7FD9">
            <w:pPr>
              <w:suppressAutoHyphens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5.775.434,14</w:t>
            </w:r>
          </w:p>
        </w:tc>
      </w:tr>
    </w:tbl>
    <w:p w14:paraId="375B21F6" w14:textId="77777777" w:rsidR="0019587B" w:rsidRDefault="0019587B" w:rsidP="0019587B">
      <w:pPr>
        <w:spacing w:before="0" w:after="160" w:line="259" w:lineRule="auto"/>
        <w:jc w:val="center"/>
        <w:rPr>
          <w:rFonts w:ascii="Calibri" w:hAnsi="Calibri" w:cs="Calibri"/>
          <w:b/>
          <w:szCs w:val="22"/>
          <w:lang w:val="en-US"/>
        </w:rPr>
      </w:pPr>
    </w:p>
    <w:p w14:paraId="3E329C01" w14:textId="77777777" w:rsidR="0019587B" w:rsidRDefault="0019587B" w:rsidP="0019587B">
      <w:pPr>
        <w:spacing w:before="0" w:after="160" w:line="259" w:lineRule="auto"/>
        <w:jc w:val="center"/>
        <w:rPr>
          <w:rFonts w:ascii="Calibri" w:hAnsi="Calibri" w:cs="Calibri"/>
          <w:b/>
          <w:szCs w:val="22"/>
          <w:lang w:val="en-US"/>
        </w:rPr>
      </w:pPr>
    </w:p>
    <w:p w14:paraId="37F0FE93" w14:textId="198CFBEF" w:rsidR="0019587B" w:rsidRDefault="0019587B" w:rsidP="0019587B">
      <w:pPr>
        <w:spacing w:before="0" w:after="160" w:line="259" w:lineRule="auto"/>
        <w:jc w:val="center"/>
        <w:rPr>
          <w:rFonts w:ascii="Calibri" w:hAnsi="Calibri" w:cs="Calibri"/>
          <w:b/>
          <w:szCs w:val="22"/>
          <w:lang w:val="en-US"/>
        </w:rPr>
      </w:pPr>
      <w:r>
        <w:rPr>
          <w:rFonts w:ascii="Calibri" w:hAnsi="Calibri" w:cs="Calibri"/>
          <w:b/>
          <w:szCs w:val="22"/>
          <w:lang w:val="en-US"/>
        </w:rPr>
        <w:t>CANARIAS SUBMARINE LINK, S.L.U.</w:t>
      </w:r>
    </w:p>
    <w:p w14:paraId="33632ECF" w14:textId="77777777" w:rsidR="0019587B" w:rsidRDefault="0019587B" w:rsidP="0019587B">
      <w:pPr>
        <w:spacing w:before="0" w:after="0"/>
        <w:jc w:val="center"/>
        <w:rPr>
          <w:rFonts w:ascii="Calibri" w:hAnsi="Calibri" w:cs="Calibri"/>
          <w:b/>
          <w:sz w:val="22"/>
          <w:szCs w:val="22"/>
          <w:lang w:val="fr-FR"/>
        </w:rPr>
      </w:pPr>
    </w:p>
    <w:tbl>
      <w:tblPr>
        <w:tblW w:w="910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5"/>
        <w:gridCol w:w="993"/>
        <w:gridCol w:w="1355"/>
        <w:gridCol w:w="1075"/>
      </w:tblGrid>
      <w:tr w:rsidR="0019587B" w:rsidRPr="00925D79" w14:paraId="18020ABD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79A21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Nombre sociedad: CANARIAS SUBMARINE LINK, S.L.U.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0E982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B1470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C0253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9587B" w:rsidRPr="00925D79" w14:paraId="41608C1A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2AD62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24F55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A5BB4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CCA7B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19587B" w:rsidRPr="00925D79" w14:paraId="7BFFDEC8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B9CDC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925D79">
              <w:rPr>
                <w:rFonts w:cs="Arial"/>
                <w:b/>
                <w:bCs/>
                <w:sz w:val="20"/>
                <w:szCs w:val="20"/>
              </w:rPr>
              <w:t>Estado de cambios en el patrimonio neto del ejercicio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D6E79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40DE5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5E070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19587B" w:rsidRPr="00925D79" w14:paraId="46BD15D1" w14:textId="77777777" w:rsidTr="004F7FD9">
        <w:trPr>
          <w:trHeight w:val="273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2A468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9E619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D2F64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4FCECB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19587B" w:rsidRPr="00925D79" w14:paraId="49E28713" w14:textId="77777777" w:rsidTr="004F7FD9">
        <w:trPr>
          <w:trHeight w:val="47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</w:tcPr>
          <w:p w14:paraId="5EFAC51F" w14:textId="77777777" w:rsidR="0019587B" w:rsidRPr="00925D79" w:rsidRDefault="0019587B" w:rsidP="004F7FD9">
            <w:pPr>
              <w:suppressAutoHyphens w:val="0"/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25D79">
              <w:rPr>
                <w:rFonts w:cs="Arial"/>
                <w:b/>
                <w:bCs/>
                <w:sz w:val="20"/>
                <w:szCs w:val="20"/>
              </w:rPr>
              <w:t>ESTADO DE INGRESOS Y GASTOS (Euros)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5691A11" w14:textId="77777777" w:rsidR="0019587B" w:rsidRPr="00925D79" w:rsidRDefault="0019587B" w:rsidP="004F7FD9">
            <w:pPr>
              <w:suppressAutoHyphens w:val="0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Nota de la Memoria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C19D5EB" w14:textId="77777777" w:rsidR="0019587B" w:rsidRPr="00925D79" w:rsidRDefault="0019587B" w:rsidP="004F7FD9">
            <w:pPr>
              <w:suppressAutoHyphens w:val="0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Importe 202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63066BF" w14:textId="77777777" w:rsidR="0019587B" w:rsidRPr="00925D79" w:rsidRDefault="0019587B" w:rsidP="004F7FD9">
            <w:pPr>
              <w:suppressAutoHyphens w:val="0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Importe 20</w:t>
            </w:r>
            <w:r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</w:tr>
      <w:tr w:rsidR="0019587B" w:rsidRPr="00925D79" w14:paraId="320137E3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1264CE01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3FB7A2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  <w:r w:rsidRPr="00925D7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748F53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  <w:r w:rsidRPr="00925D7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AB5C4F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  <w:r w:rsidRPr="00925D79">
              <w:rPr>
                <w:rFonts w:cs="Arial"/>
                <w:sz w:val="20"/>
                <w:szCs w:val="20"/>
              </w:rPr>
              <w:t> </w:t>
            </w:r>
          </w:p>
        </w:tc>
      </w:tr>
      <w:tr w:rsidR="0019587B" w:rsidRPr="00925D79" w14:paraId="7F7EF164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73C9DC99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20D152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  <w:r w:rsidRPr="00925D7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0AF474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  <w:r w:rsidRPr="00925D7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50F2CA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  <w:r w:rsidRPr="00925D79">
              <w:rPr>
                <w:rFonts w:cs="Arial"/>
                <w:sz w:val="20"/>
                <w:szCs w:val="20"/>
              </w:rPr>
              <w:t> </w:t>
            </w:r>
          </w:p>
        </w:tc>
      </w:tr>
      <w:tr w:rsidR="0019587B" w:rsidRPr="00925D79" w14:paraId="7F743E86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43FF8A81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Resultado de la cuenta de pérdidas y ganancias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715666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0C513C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3.781.014,44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953DE5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5.775.434,14</w:t>
            </w:r>
          </w:p>
        </w:tc>
      </w:tr>
      <w:tr w:rsidR="0019587B" w:rsidRPr="00925D79" w14:paraId="47DB0578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298F8DB2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Ingresos y gastos imputados directamente al patrimonio neto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33BB89D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26156F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111838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244BB36F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86DA05D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I. Por valoración de instrumentos financieros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ADEC78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55ABE3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AFD357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3C357D1B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072F6280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 xml:space="preserve">      1. Activos financieros disponibles para la venta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E26C51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623285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390305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1E715AAB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6B0D47AD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 xml:space="preserve">      3. Otros ingresos/gastos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83B400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9D6375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FD31EE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49CA4460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7DB0187A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II. Por coberturas de flujos de efectivo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A7EFA9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A2239A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3C926D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6279FF63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6FADFC7A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III. Subvenciones, donaciones y legados recibidos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BBB9DA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D59878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46F6E1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2B109648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7D475725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IV. Por ganancias y pérdidas actuariales y otros ajustes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E73302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9CA447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56F563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5A482693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6620E4A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V. Efecto impositivo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ACB0752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E4B7D9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6DB868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5BC7C576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1CFCC978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C9C1EF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21B049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74BEC8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28384458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19EF32A9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TOTAL INGRESOS Y GASTOS IMPUTADOS DIRECTAMENTE EN EL PATRIMONIO NETO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773B5D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2D1A94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6177A9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19587B" w:rsidRPr="00925D79" w14:paraId="2391545E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11A2B56B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A168E5B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6013A6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DE91F0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19587B" w:rsidRPr="00925D79" w14:paraId="55437581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195E6C1F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Transferencias a la cuenta de pérdidas y ganancias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66B029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80F900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DD4240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3F93514B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17FFB10E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VI. Por valoración de instrumentos financieros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381BBC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8CD73C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29EDC5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237A6020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11A282F7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1. Activos financieros disponibles para la venta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86F39B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3C4BCA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344CFD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5276E849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28C679C7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2. Otros ingresos/gastos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13A8C13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1CAB5E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E6EF4B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70B88D9E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6BA22C5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VII. Por coberturas de flujos de efectivo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DD4A8C6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5B792B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4413CE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2F8C6F4B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731DD7AE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VIII. Subvenciones, donaciones y legados recibidos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E8117D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F3DC2D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52762E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09109421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9966D02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IX. Efecto impositivo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E0BA9E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6437E1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C0B5EF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6682723B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5C0F64AB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95D42E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F9BD4D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E035F2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925D79">
              <w:rPr>
                <w:rFonts w:cs="Arial"/>
                <w:sz w:val="16"/>
                <w:szCs w:val="16"/>
              </w:rPr>
              <w:t> </w:t>
            </w:r>
          </w:p>
        </w:tc>
      </w:tr>
      <w:tr w:rsidR="0019587B" w:rsidRPr="00925D79" w14:paraId="71AD5D5A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5654229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TOTAL TRANSFERENCIAS A LA CUENTA DE PÉRDIDAS Y GANANCIAS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A7FAFC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545217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DE0D34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19587B" w:rsidRPr="00925D79" w14:paraId="351827CD" w14:textId="77777777" w:rsidTr="004F7FD9">
        <w:trPr>
          <w:trHeight w:val="258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22E34141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34B2253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70771B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96466B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19587B" w:rsidRPr="00925D79" w14:paraId="76040C78" w14:textId="77777777" w:rsidTr="004F7FD9">
        <w:trPr>
          <w:trHeight w:val="258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7ABBAE66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TOTAL DE INGRESOS Y GASTOS RECONOCIDOS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D1E7179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25D7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3F3F084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3.781.014,44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05EF5AF" w14:textId="77777777" w:rsidR="0019587B" w:rsidRPr="00925D79" w:rsidRDefault="0019587B" w:rsidP="004F7FD9">
            <w:pPr>
              <w:suppressAutoHyphens w:val="0"/>
              <w:spacing w:before="0"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5.775.434,14</w:t>
            </w:r>
          </w:p>
        </w:tc>
      </w:tr>
      <w:tr w:rsidR="0019587B" w:rsidRPr="00925D79" w14:paraId="6DD4FF0D" w14:textId="77777777" w:rsidTr="004F7FD9">
        <w:trPr>
          <w:trHeight w:val="71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45F45E4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  <w:r w:rsidRPr="00925D7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608FDB1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  <w:r w:rsidRPr="00925D7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1F93C2D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  <w:r w:rsidRPr="00925D7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1867220" w14:textId="77777777" w:rsidR="0019587B" w:rsidRPr="00925D79" w:rsidRDefault="0019587B" w:rsidP="004F7FD9">
            <w:pPr>
              <w:suppressAutoHyphens w:val="0"/>
              <w:spacing w:before="0" w:after="0"/>
              <w:rPr>
                <w:rFonts w:cs="Arial"/>
                <w:sz w:val="20"/>
                <w:szCs w:val="20"/>
              </w:rPr>
            </w:pPr>
            <w:r w:rsidRPr="00925D79">
              <w:rPr>
                <w:rFonts w:cs="Arial"/>
                <w:sz w:val="20"/>
                <w:szCs w:val="20"/>
              </w:rPr>
              <w:t> </w:t>
            </w:r>
          </w:p>
        </w:tc>
      </w:tr>
    </w:tbl>
    <w:p w14:paraId="1F49963A" w14:textId="77777777" w:rsidR="0019587B" w:rsidRDefault="0019587B" w:rsidP="0019587B">
      <w:pPr>
        <w:spacing w:before="0" w:after="0"/>
        <w:rPr>
          <w:rFonts w:ascii="Calibri" w:hAnsi="Calibri" w:cs="Calibri"/>
          <w:b/>
          <w:sz w:val="22"/>
          <w:szCs w:val="22"/>
          <w:lang w:val="fr-FR"/>
        </w:rPr>
      </w:pPr>
    </w:p>
    <w:p w14:paraId="70FFBF8C" w14:textId="60A1E469" w:rsidR="006D6CEF" w:rsidRPr="0019587B" w:rsidRDefault="006D6CEF" w:rsidP="0019587B">
      <w:bookmarkStart w:id="0" w:name="_GoBack"/>
      <w:bookmarkEnd w:id="0"/>
    </w:p>
    <w:sectPr w:rsidR="006D6CEF" w:rsidRPr="0019587B" w:rsidSect="00FB2A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</w:t>
    </w:r>
    <w:proofErr w:type="spellStart"/>
    <w:r>
      <w:rPr>
        <w:color w:val="89918E"/>
        <w:sz w:val="16"/>
        <w:szCs w:val="16"/>
      </w:rPr>
      <w:t>Submarine</w:t>
    </w:r>
    <w:proofErr w:type="spellEnd"/>
    <w:r>
      <w:rPr>
        <w:color w:val="89918E"/>
        <w:sz w:val="16"/>
        <w:szCs w:val="16"/>
      </w:rPr>
      <w:t xml:space="preserve">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Abona, Tenerife, España</w:t>
    </w:r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  <w:lang w:val="en-US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  <w:lang w:val="en-US"/>
      </w:rPr>
      <w:t>TEL</w:t>
    </w:r>
    <w:r w:rsidRPr="002D70A6">
      <w:rPr>
        <w:color w:val="89918E"/>
        <w:sz w:val="16"/>
        <w:szCs w:val="16"/>
        <w:lang w:val="en-US"/>
      </w:rPr>
      <w:t xml:space="preserve">: 922-747-777 · </w:t>
    </w:r>
    <w:r w:rsidRPr="002D70A6">
      <w:rPr>
        <w:b/>
        <w:color w:val="89918E"/>
        <w:sz w:val="16"/>
        <w:szCs w:val="16"/>
        <w:lang w:val="en-US"/>
      </w:rPr>
      <w:t>FAX</w:t>
    </w:r>
    <w:r w:rsidRPr="002D70A6">
      <w:rPr>
        <w:color w:val="89918E"/>
        <w:sz w:val="16"/>
        <w:szCs w:val="16"/>
        <w:lang w:val="en-US"/>
      </w:rPr>
      <w:t xml:space="preserve">: 922-747-701 · </w:t>
    </w:r>
    <w:r w:rsidRPr="002D70A6">
      <w:rPr>
        <w:b/>
        <w:color w:val="89918E"/>
        <w:sz w:val="16"/>
        <w:szCs w:val="16"/>
        <w:lang w:val="en-US"/>
      </w:rPr>
      <w:t>E-MAIL</w:t>
    </w:r>
    <w:r w:rsidRPr="002D70A6">
      <w:rPr>
        <w:color w:val="89918E"/>
        <w:sz w:val="16"/>
        <w:szCs w:val="16"/>
        <w:lang w:val="en-US"/>
      </w:rPr>
      <w:t xml:space="preserve">: canalink@canalink.es </w:t>
    </w:r>
  </w:p>
  <w:p w14:paraId="5F4C0F26" w14:textId="77777777" w:rsidR="002D70A6" w:rsidRDefault="002D70A6">
    <w:r>
      <w:rPr>
        <w:noProof/>
        <w:color w:val="1B1D1C"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5140AA"/>
    <w:multiLevelType w:val="hybridMultilevel"/>
    <w:tmpl w:val="D8108B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F1EED"/>
    <w:multiLevelType w:val="hybridMultilevel"/>
    <w:tmpl w:val="680C1E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9291D"/>
    <w:multiLevelType w:val="multilevel"/>
    <w:tmpl w:val="0F14D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4">
    <w:nsid w:val="23BC2ADF"/>
    <w:multiLevelType w:val="hybridMultilevel"/>
    <w:tmpl w:val="C3DA2F8E"/>
    <w:lvl w:ilvl="0" w:tplc="0C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">
    <w:nsid w:val="31D446AD"/>
    <w:multiLevelType w:val="hybridMultilevel"/>
    <w:tmpl w:val="35A68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E274A"/>
    <w:multiLevelType w:val="hybridMultilevel"/>
    <w:tmpl w:val="E228D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81719"/>
    <w:multiLevelType w:val="hybridMultilevel"/>
    <w:tmpl w:val="A86E2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9">
    <w:nsid w:val="5A0F2FEA"/>
    <w:multiLevelType w:val="hybridMultilevel"/>
    <w:tmpl w:val="B4800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C2E33"/>
    <w:multiLevelType w:val="hybridMultilevel"/>
    <w:tmpl w:val="2EFA9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E139B"/>
    <w:multiLevelType w:val="hybridMultilevel"/>
    <w:tmpl w:val="AF5C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9587B"/>
    <w:rsid w:val="001A54F7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0F92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B06FC0"/>
    <w:rsid w:val="00B07EFE"/>
    <w:rsid w:val="00B345C2"/>
    <w:rsid w:val="00B843CE"/>
    <w:rsid w:val="00B92ED2"/>
    <w:rsid w:val="00BC68B4"/>
    <w:rsid w:val="00C9103A"/>
    <w:rsid w:val="00C97D36"/>
    <w:rsid w:val="00D01688"/>
    <w:rsid w:val="00D03364"/>
    <w:rsid w:val="00D102CC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7B"/>
    <w:pPr>
      <w:suppressAutoHyphens/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uppressAutoHyphens w:val="0"/>
      <w:spacing w:before="480" w:after="0" w:line="276" w:lineRule="auto"/>
      <w:outlineLvl w:val="0"/>
    </w:pPr>
    <w:rPr>
      <w:rFonts w:ascii="Museo 700" w:eastAsiaTheme="majorEastAsia" w:hAnsi="Museo 700" w:cstheme="majorBidi"/>
      <w:b/>
      <w:bCs/>
      <w:color w:val="267BA7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uppressAutoHyphens w:val="0"/>
      <w:spacing w:before="200" w:after="0" w:line="276" w:lineRule="auto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  <w:lang w:eastAsia="en-US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uppressAutoHyphens w:val="0"/>
      <w:spacing w:before="200" w:after="0" w:line="276" w:lineRule="auto"/>
      <w:outlineLvl w:val="2"/>
    </w:pPr>
    <w:rPr>
      <w:rFonts w:ascii="Museo 700" w:eastAsiaTheme="majorEastAsia" w:hAnsi="Museo 700" w:cstheme="majorBidi"/>
      <w:b/>
      <w:bCs/>
      <w:color w:val="267BA7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uppressAutoHyphens w:val="0"/>
      <w:spacing w:before="200" w:after="0" w:line="276" w:lineRule="auto"/>
      <w:outlineLvl w:val="3"/>
    </w:pPr>
    <w:rPr>
      <w:rFonts w:ascii="Museo 700" w:eastAsiaTheme="majorEastAsia" w:hAnsi="Museo 700" w:cstheme="majorBidi"/>
      <w:b/>
      <w:bCs/>
      <w:i/>
      <w:iCs/>
      <w:color w:val="112934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uppressAutoHyphens w:val="0"/>
      <w:spacing w:before="200" w:after="0" w:line="276" w:lineRule="auto"/>
      <w:outlineLvl w:val="4"/>
    </w:pPr>
    <w:rPr>
      <w:rFonts w:asciiTheme="minorHAnsi" w:eastAsiaTheme="majorEastAsia" w:hAnsiTheme="minorHAnsi" w:cstheme="majorBidi"/>
      <w:color w:val="A6A6A6" w:themeColor="background1" w:themeShade="A6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uppressAutoHyphens w:val="0"/>
      <w:spacing w:before="200" w:after="0" w:line="276" w:lineRule="auto"/>
      <w:outlineLvl w:val="5"/>
    </w:pPr>
    <w:rPr>
      <w:rFonts w:asciiTheme="minorHAnsi" w:eastAsiaTheme="majorEastAsia" w:hAnsiTheme="minorHAnsi" w:cstheme="majorBidi"/>
      <w:i/>
      <w:iCs/>
      <w:color w:val="133D53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uppressAutoHyphens w:val="0"/>
      <w:spacing w:before="200" w:after="0" w:line="276" w:lineRule="auto"/>
      <w:outlineLvl w:val="6"/>
    </w:pPr>
    <w:rPr>
      <w:rFonts w:ascii="Museo 300" w:eastAsiaTheme="majorEastAsia" w:hAnsi="Museo 300" w:cstheme="majorBidi"/>
      <w:i/>
      <w:iCs/>
      <w:color w:val="2C6A87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uppressAutoHyphens w:val="0"/>
      <w:spacing w:before="200" w:after="0" w:line="276" w:lineRule="auto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uppressAutoHyphens w:val="0"/>
      <w:spacing w:before="200" w:after="0" w:line="276" w:lineRule="auto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uppressAutoHyphens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uppressAutoHyphens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uppressAutoHyphens w:val="0"/>
      <w:spacing w:before="0"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uppressAutoHyphens w:val="0"/>
      <w:spacing w:before="0" w:after="300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uppressAutoHyphens w:val="0"/>
      <w:spacing w:before="80" w:after="80" w:line="276" w:lineRule="auto"/>
    </w:pPr>
    <w:rPr>
      <w:rFonts w:ascii="Museo 300" w:eastAsiaTheme="majorEastAsia" w:hAnsi="Museo 300" w:cstheme="majorBidi"/>
      <w:b/>
      <w:iCs/>
      <w:spacing w:val="15"/>
      <w:sz w:val="16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suppressAutoHyphens w:val="0"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uppressAutoHyphens w:val="0"/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7B"/>
    <w:pPr>
      <w:suppressAutoHyphens/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uppressAutoHyphens w:val="0"/>
      <w:spacing w:before="480" w:after="0" w:line="276" w:lineRule="auto"/>
      <w:outlineLvl w:val="0"/>
    </w:pPr>
    <w:rPr>
      <w:rFonts w:ascii="Museo 700" w:eastAsiaTheme="majorEastAsia" w:hAnsi="Museo 700" w:cstheme="majorBidi"/>
      <w:b/>
      <w:bCs/>
      <w:color w:val="267BA7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uppressAutoHyphens w:val="0"/>
      <w:spacing w:before="200" w:after="0" w:line="276" w:lineRule="auto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  <w:lang w:eastAsia="en-US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uppressAutoHyphens w:val="0"/>
      <w:spacing w:before="200" w:after="0" w:line="276" w:lineRule="auto"/>
      <w:outlineLvl w:val="2"/>
    </w:pPr>
    <w:rPr>
      <w:rFonts w:ascii="Museo 700" w:eastAsiaTheme="majorEastAsia" w:hAnsi="Museo 700" w:cstheme="majorBidi"/>
      <w:b/>
      <w:bCs/>
      <w:color w:val="267BA7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uppressAutoHyphens w:val="0"/>
      <w:spacing w:before="200" w:after="0" w:line="276" w:lineRule="auto"/>
      <w:outlineLvl w:val="3"/>
    </w:pPr>
    <w:rPr>
      <w:rFonts w:ascii="Museo 700" w:eastAsiaTheme="majorEastAsia" w:hAnsi="Museo 700" w:cstheme="majorBidi"/>
      <w:b/>
      <w:bCs/>
      <w:i/>
      <w:iCs/>
      <w:color w:val="112934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uppressAutoHyphens w:val="0"/>
      <w:spacing w:before="200" w:after="0" w:line="276" w:lineRule="auto"/>
      <w:outlineLvl w:val="4"/>
    </w:pPr>
    <w:rPr>
      <w:rFonts w:asciiTheme="minorHAnsi" w:eastAsiaTheme="majorEastAsia" w:hAnsiTheme="minorHAnsi" w:cstheme="majorBidi"/>
      <w:color w:val="A6A6A6" w:themeColor="background1" w:themeShade="A6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uppressAutoHyphens w:val="0"/>
      <w:spacing w:before="200" w:after="0" w:line="276" w:lineRule="auto"/>
      <w:outlineLvl w:val="5"/>
    </w:pPr>
    <w:rPr>
      <w:rFonts w:asciiTheme="minorHAnsi" w:eastAsiaTheme="majorEastAsia" w:hAnsiTheme="minorHAnsi" w:cstheme="majorBidi"/>
      <w:i/>
      <w:iCs/>
      <w:color w:val="133D53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uppressAutoHyphens w:val="0"/>
      <w:spacing w:before="200" w:after="0" w:line="276" w:lineRule="auto"/>
      <w:outlineLvl w:val="6"/>
    </w:pPr>
    <w:rPr>
      <w:rFonts w:ascii="Museo 300" w:eastAsiaTheme="majorEastAsia" w:hAnsi="Museo 300" w:cstheme="majorBidi"/>
      <w:i/>
      <w:iCs/>
      <w:color w:val="2C6A87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uppressAutoHyphens w:val="0"/>
      <w:spacing w:before="200" w:after="0" w:line="276" w:lineRule="auto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uppressAutoHyphens w:val="0"/>
      <w:spacing w:before="200" w:after="0" w:line="276" w:lineRule="auto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uppressAutoHyphens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uppressAutoHyphens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uppressAutoHyphens w:val="0"/>
      <w:spacing w:before="0"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uppressAutoHyphens w:val="0"/>
      <w:spacing w:before="0" w:after="300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uppressAutoHyphens w:val="0"/>
      <w:spacing w:before="80" w:after="80" w:line="276" w:lineRule="auto"/>
    </w:pPr>
    <w:rPr>
      <w:rFonts w:ascii="Museo 300" w:eastAsiaTheme="majorEastAsia" w:hAnsi="Museo 300" w:cstheme="majorBidi"/>
      <w:b/>
      <w:iCs/>
      <w:spacing w:val="15"/>
      <w:sz w:val="16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suppressAutoHyphens w:val="0"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uppressAutoHyphens w:val="0"/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http://purl.org/dc/elements/1.1/"/>
    <ds:schemaRef ds:uri="http://purl.org/dc/terms/"/>
    <ds:schemaRef ds:uri="615f5aeb-7a75-4847-8b5e-fc080f6fa3c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22fe289-cbf0-4b28-a36e-6276c7cbe33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005B4-C188-4211-BC47-69B3F049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3</cp:revision>
  <cp:lastPrinted>2022-06-24T12:03:00Z</cp:lastPrinted>
  <dcterms:created xsi:type="dcterms:W3CDTF">2022-06-24T12:03:00Z</dcterms:created>
  <dcterms:modified xsi:type="dcterms:W3CDTF">2022-06-24T12:09:00Z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