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47898" w14:textId="77777777" w:rsidR="0019587B" w:rsidRDefault="0019587B" w:rsidP="0019587B">
      <w:pPr>
        <w:spacing w:before="0" w:after="160" w:line="259" w:lineRule="auto"/>
        <w:jc w:val="center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CANARIAS SUBMARINE LINK, S.L.U.</w:t>
      </w:r>
    </w:p>
    <w:tbl>
      <w:tblPr>
        <w:tblW w:w="915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3"/>
        <w:gridCol w:w="717"/>
        <w:gridCol w:w="1545"/>
        <w:gridCol w:w="1301"/>
      </w:tblGrid>
      <w:tr w:rsidR="0019587B" w:rsidRPr="009A3851" w14:paraId="75341A0E" w14:textId="77777777" w:rsidTr="004F7FD9">
        <w:trPr>
          <w:trHeight w:val="343"/>
        </w:trPr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35534100" w14:textId="77777777" w:rsidR="0019587B" w:rsidRPr="009A3851" w:rsidRDefault="0019587B" w:rsidP="004F7FD9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Pérdidas y Ganancias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55F17869" w14:textId="77777777" w:rsidR="0019587B" w:rsidRPr="009A3851" w:rsidRDefault="0019587B" w:rsidP="004F7FD9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2BA54510" w14:textId="77777777" w:rsidR="0019587B" w:rsidRPr="009A3851" w:rsidRDefault="0019587B" w:rsidP="004F7FD9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</w:tcPr>
          <w:p w14:paraId="7E574662" w14:textId="77777777" w:rsidR="0019587B" w:rsidRPr="009A3851" w:rsidRDefault="0019587B" w:rsidP="004F7FD9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2.020</w:t>
            </w:r>
          </w:p>
        </w:tc>
      </w:tr>
      <w:tr w:rsidR="0019587B" w:rsidRPr="009A3851" w14:paraId="08BD54DC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AD8800C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A) OPERACIONES CONTINUADAS </w:t>
            </w:r>
          </w:p>
        </w:tc>
        <w:tc>
          <w:tcPr>
            <w:tcW w:w="717" w:type="dxa"/>
            <w:noWrap/>
          </w:tcPr>
          <w:p w14:paraId="0EB53B0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9A6605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ECA0F6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3ADF0B3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26D341E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1. Importe neto de la cifra de negocios </w:t>
            </w:r>
          </w:p>
        </w:tc>
        <w:tc>
          <w:tcPr>
            <w:tcW w:w="717" w:type="dxa"/>
            <w:noWrap/>
          </w:tcPr>
          <w:p w14:paraId="12754595" w14:textId="77777777" w:rsidR="0019587B" w:rsidRPr="009A3851" w:rsidRDefault="0019587B" w:rsidP="004F7FD9">
            <w:pPr>
              <w:suppressAutoHyphens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5" w:type="dxa"/>
            <w:noWrap/>
          </w:tcPr>
          <w:p w14:paraId="37FB211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18.571.179,32</w:t>
            </w:r>
          </w:p>
        </w:tc>
        <w:tc>
          <w:tcPr>
            <w:tcW w:w="1301" w:type="dxa"/>
            <w:noWrap/>
          </w:tcPr>
          <w:p w14:paraId="3830955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</w:tr>
      <w:tr w:rsidR="0019587B" w:rsidRPr="009A3851" w14:paraId="308C5B6F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9BE358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Ventas </w:t>
            </w:r>
          </w:p>
        </w:tc>
        <w:tc>
          <w:tcPr>
            <w:tcW w:w="717" w:type="dxa"/>
            <w:noWrap/>
          </w:tcPr>
          <w:p w14:paraId="3118D2F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06118E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80630D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660D63DF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39C7510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Prestaciones de servicios </w:t>
            </w:r>
          </w:p>
        </w:tc>
        <w:tc>
          <w:tcPr>
            <w:tcW w:w="717" w:type="dxa"/>
            <w:noWrap/>
          </w:tcPr>
          <w:p w14:paraId="7443A21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1ADCD1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18.571.179,32</w:t>
            </w:r>
          </w:p>
        </w:tc>
        <w:tc>
          <w:tcPr>
            <w:tcW w:w="1301" w:type="dxa"/>
            <w:noWrap/>
          </w:tcPr>
          <w:p w14:paraId="63A257C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19.941.120,19</w:t>
            </w:r>
          </w:p>
        </w:tc>
      </w:tr>
      <w:tr w:rsidR="0019587B" w:rsidRPr="009A3851" w14:paraId="0C5E1840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ABD5D45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Ingresos de carácter financiero de las sociedades holding </w:t>
            </w:r>
          </w:p>
        </w:tc>
        <w:tc>
          <w:tcPr>
            <w:tcW w:w="717" w:type="dxa"/>
            <w:noWrap/>
          </w:tcPr>
          <w:p w14:paraId="3DAFF23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1EAF84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4E43714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60DA3A27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0D5061A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2. Variación de existencias de productos terminados</w:t>
            </w:r>
          </w:p>
        </w:tc>
        <w:tc>
          <w:tcPr>
            <w:tcW w:w="717" w:type="dxa"/>
            <w:noWrap/>
          </w:tcPr>
          <w:p w14:paraId="5757C56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D3D9FF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02FB25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40E00AE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EF5D5FE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3. Trabajos realizados por la empresa para su activo </w:t>
            </w:r>
          </w:p>
        </w:tc>
        <w:tc>
          <w:tcPr>
            <w:tcW w:w="717" w:type="dxa"/>
            <w:noWrap/>
          </w:tcPr>
          <w:p w14:paraId="281F335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002323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F4CD04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695396E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E0E9C79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4. Aprovisionamientos </w:t>
            </w:r>
          </w:p>
        </w:tc>
        <w:tc>
          <w:tcPr>
            <w:tcW w:w="717" w:type="dxa"/>
            <w:noWrap/>
          </w:tcPr>
          <w:p w14:paraId="4195D16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B8E672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-20.734,46</w:t>
            </w:r>
          </w:p>
        </w:tc>
        <w:tc>
          <w:tcPr>
            <w:tcW w:w="1301" w:type="dxa"/>
            <w:noWrap/>
          </w:tcPr>
          <w:p w14:paraId="1118391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</w:tr>
      <w:tr w:rsidR="0019587B" w:rsidRPr="009A3851" w14:paraId="642EF75C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6D0EA7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Consumo de mercaderías </w:t>
            </w:r>
          </w:p>
        </w:tc>
        <w:tc>
          <w:tcPr>
            <w:tcW w:w="717" w:type="dxa"/>
            <w:noWrap/>
          </w:tcPr>
          <w:p w14:paraId="57BED8A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F8B46B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D2449C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1CCEBC6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8D47AB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Consumo de materias primas y o/materias consumibles </w:t>
            </w:r>
          </w:p>
        </w:tc>
        <w:tc>
          <w:tcPr>
            <w:tcW w:w="717" w:type="dxa"/>
            <w:noWrap/>
          </w:tcPr>
          <w:p w14:paraId="0A7550D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1AC3515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-20.734,46</w:t>
            </w:r>
          </w:p>
        </w:tc>
        <w:tc>
          <w:tcPr>
            <w:tcW w:w="1301" w:type="dxa"/>
            <w:noWrap/>
          </w:tcPr>
          <w:p w14:paraId="567D37B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-1.029.945,30</w:t>
            </w:r>
          </w:p>
        </w:tc>
      </w:tr>
      <w:tr w:rsidR="0019587B" w:rsidRPr="009A3851" w14:paraId="404C01E5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21E5DE3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Trabajos realizados por otras empresas </w:t>
            </w:r>
          </w:p>
        </w:tc>
        <w:tc>
          <w:tcPr>
            <w:tcW w:w="717" w:type="dxa"/>
            <w:noWrap/>
          </w:tcPr>
          <w:p w14:paraId="2204963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503CA7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D7C30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9832293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EF1773F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Deterioro de mercaderías y otros aprovisionamientos </w:t>
            </w:r>
          </w:p>
        </w:tc>
        <w:tc>
          <w:tcPr>
            <w:tcW w:w="717" w:type="dxa"/>
            <w:noWrap/>
          </w:tcPr>
          <w:p w14:paraId="5078898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B419BA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EFCF65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18D7961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6D2395F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5. Otros ingresos de explotación </w:t>
            </w:r>
          </w:p>
        </w:tc>
        <w:tc>
          <w:tcPr>
            <w:tcW w:w="717" w:type="dxa"/>
            <w:noWrap/>
          </w:tcPr>
          <w:p w14:paraId="69EFAE6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B037F4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2.013,59</w:t>
            </w:r>
          </w:p>
        </w:tc>
        <w:tc>
          <w:tcPr>
            <w:tcW w:w="1301" w:type="dxa"/>
            <w:noWrap/>
          </w:tcPr>
          <w:p w14:paraId="4036FEB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</w:tr>
      <w:tr w:rsidR="0019587B" w:rsidRPr="009A3851" w14:paraId="3DA7F9EF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1A5CCBF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Ingresos accesorios y otros de gestión corriente </w:t>
            </w:r>
          </w:p>
        </w:tc>
        <w:tc>
          <w:tcPr>
            <w:tcW w:w="717" w:type="dxa"/>
            <w:noWrap/>
          </w:tcPr>
          <w:p w14:paraId="70AC6D7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1EF486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2.013,59</w:t>
            </w:r>
          </w:p>
        </w:tc>
        <w:tc>
          <w:tcPr>
            <w:tcW w:w="1301" w:type="dxa"/>
            <w:noWrap/>
          </w:tcPr>
          <w:p w14:paraId="73B9E58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19.622,68</w:t>
            </w:r>
          </w:p>
        </w:tc>
      </w:tr>
      <w:tr w:rsidR="0019587B" w:rsidRPr="009A3851" w14:paraId="2BDA29EE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02C2A27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Subvenciones explotación incorporadas al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Rtdo.ejercicio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6959FC5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C31D43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EA646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3CDE50FA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B8754B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6. Gastos de personal </w:t>
            </w:r>
          </w:p>
        </w:tc>
        <w:tc>
          <w:tcPr>
            <w:tcW w:w="717" w:type="dxa"/>
            <w:noWrap/>
          </w:tcPr>
          <w:p w14:paraId="41C9043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7B3537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-586.253,16</w:t>
            </w:r>
          </w:p>
        </w:tc>
        <w:tc>
          <w:tcPr>
            <w:tcW w:w="1301" w:type="dxa"/>
            <w:noWrap/>
          </w:tcPr>
          <w:p w14:paraId="15962A3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-728.162,18</w:t>
            </w:r>
          </w:p>
        </w:tc>
      </w:tr>
      <w:tr w:rsidR="0019587B" w:rsidRPr="009A3851" w14:paraId="00C47D7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7D56E39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Sueldos, salarios y asimilados </w:t>
            </w:r>
          </w:p>
        </w:tc>
        <w:tc>
          <w:tcPr>
            <w:tcW w:w="717" w:type="dxa"/>
            <w:noWrap/>
          </w:tcPr>
          <w:p w14:paraId="11F24DA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79A14C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-433.704,80</w:t>
            </w:r>
          </w:p>
        </w:tc>
        <w:tc>
          <w:tcPr>
            <w:tcW w:w="1301" w:type="dxa"/>
            <w:noWrap/>
          </w:tcPr>
          <w:p w14:paraId="0D1BDB9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-493.530,60</w:t>
            </w:r>
          </w:p>
        </w:tc>
      </w:tr>
      <w:tr w:rsidR="0019587B" w:rsidRPr="009A3851" w14:paraId="63575F65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D0DDB88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Cargas sociales </w:t>
            </w:r>
          </w:p>
        </w:tc>
        <w:tc>
          <w:tcPr>
            <w:tcW w:w="717" w:type="dxa"/>
            <w:noWrap/>
          </w:tcPr>
          <w:p w14:paraId="67ABA4B5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EDA90D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-152.548,36</w:t>
            </w:r>
          </w:p>
        </w:tc>
        <w:tc>
          <w:tcPr>
            <w:tcW w:w="1301" w:type="dxa"/>
            <w:noWrap/>
          </w:tcPr>
          <w:p w14:paraId="61F3DC4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-234.631,58</w:t>
            </w:r>
          </w:p>
        </w:tc>
      </w:tr>
      <w:tr w:rsidR="0019587B" w:rsidRPr="009A3851" w14:paraId="5644009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9F3955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Provisiones </w:t>
            </w:r>
          </w:p>
        </w:tc>
        <w:tc>
          <w:tcPr>
            <w:tcW w:w="717" w:type="dxa"/>
            <w:noWrap/>
          </w:tcPr>
          <w:p w14:paraId="00B4D07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3AD74D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068244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14650EA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9D82FD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7. Otros gastos de explotación </w:t>
            </w:r>
          </w:p>
        </w:tc>
        <w:tc>
          <w:tcPr>
            <w:tcW w:w="717" w:type="dxa"/>
            <w:noWrap/>
          </w:tcPr>
          <w:p w14:paraId="45AFE7B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5" w:type="dxa"/>
            <w:noWrap/>
          </w:tcPr>
          <w:p w14:paraId="0859B34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-8.521.627,11</w:t>
            </w:r>
          </w:p>
        </w:tc>
        <w:tc>
          <w:tcPr>
            <w:tcW w:w="1301" w:type="dxa"/>
            <w:noWrap/>
          </w:tcPr>
          <w:p w14:paraId="743E4835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-7.694.911,73</w:t>
            </w:r>
          </w:p>
        </w:tc>
      </w:tr>
      <w:tr w:rsidR="0019587B" w:rsidRPr="009A3851" w14:paraId="4D47A729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3F081E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Servicios exteriores </w:t>
            </w:r>
          </w:p>
        </w:tc>
        <w:tc>
          <w:tcPr>
            <w:tcW w:w="717" w:type="dxa"/>
            <w:noWrap/>
          </w:tcPr>
          <w:p w14:paraId="3CB33A5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2D26F9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-8.059.897,93</w:t>
            </w:r>
          </w:p>
        </w:tc>
        <w:tc>
          <w:tcPr>
            <w:tcW w:w="1301" w:type="dxa"/>
            <w:noWrap/>
          </w:tcPr>
          <w:p w14:paraId="1E0F554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-7.854.888,47</w:t>
            </w:r>
          </w:p>
        </w:tc>
      </w:tr>
      <w:tr w:rsidR="0019587B" w:rsidRPr="009A3851" w14:paraId="08B6866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0E4C15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Tributos </w:t>
            </w:r>
          </w:p>
        </w:tc>
        <w:tc>
          <w:tcPr>
            <w:tcW w:w="717" w:type="dxa"/>
            <w:noWrap/>
          </w:tcPr>
          <w:p w14:paraId="72D9DA3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A95E90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-408.747,91</w:t>
            </w:r>
          </w:p>
        </w:tc>
        <w:tc>
          <w:tcPr>
            <w:tcW w:w="1301" w:type="dxa"/>
            <w:noWrap/>
          </w:tcPr>
          <w:p w14:paraId="541A1C2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-380.023,20</w:t>
            </w:r>
          </w:p>
        </w:tc>
      </w:tr>
      <w:tr w:rsidR="0019587B" w:rsidRPr="009A3851" w14:paraId="06156F3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D4F7B9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Pérdidas, deterioro y variación prov. por operaciones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ciales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4D44CC4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35CE49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DBAE5F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540.000,00</w:t>
            </w:r>
          </w:p>
        </w:tc>
      </w:tr>
      <w:tr w:rsidR="0019587B" w:rsidRPr="009A3851" w14:paraId="48B7A6D9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F58E1F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Otros gastos de gestión corriente </w:t>
            </w:r>
          </w:p>
        </w:tc>
        <w:tc>
          <w:tcPr>
            <w:tcW w:w="717" w:type="dxa"/>
            <w:noWrap/>
          </w:tcPr>
          <w:p w14:paraId="0FE13E5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F2123E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-52.981,27</w:t>
            </w:r>
          </w:p>
        </w:tc>
        <w:tc>
          <w:tcPr>
            <w:tcW w:w="1301" w:type="dxa"/>
            <w:noWrap/>
          </w:tcPr>
          <w:p w14:paraId="456B841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-0,06</w:t>
            </w:r>
          </w:p>
        </w:tc>
      </w:tr>
      <w:tr w:rsidR="0019587B" w:rsidRPr="009A3851" w14:paraId="0965291F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8889EA9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e) Gastos por emisión de gases de efecto invernadero </w:t>
            </w:r>
          </w:p>
        </w:tc>
        <w:tc>
          <w:tcPr>
            <w:tcW w:w="717" w:type="dxa"/>
            <w:noWrap/>
          </w:tcPr>
          <w:p w14:paraId="3C3B8C5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383C25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0C465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00787EE3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8E740B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8. Amortización del inmovilizado </w:t>
            </w:r>
          </w:p>
        </w:tc>
        <w:tc>
          <w:tcPr>
            <w:tcW w:w="717" w:type="dxa"/>
            <w:noWrap/>
          </w:tcPr>
          <w:p w14:paraId="2AAB53A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545" w:type="dxa"/>
            <w:noWrap/>
          </w:tcPr>
          <w:p w14:paraId="09B557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-4.796.550,79</w:t>
            </w:r>
          </w:p>
        </w:tc>
        <w:tc>
          <w:tcPr>
            <w:tcW w:w="1301" w:type="dxa"/>
            <w:noWrap/>
          </w:tcPr>
          <w:p w14:paraId="0CD91E9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-3.892.875,91</w:t>
            </w:r>
          </w:p>
        </w:tc>
      </w:tr>
      <w:tr w:rsidR="0019587B" w:rsidRPr="009A3851" w14:paraId="32D2ED29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9A8806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9. Imputación de subvenciones inmovilizado no financiero</w:t>
            </w:r>
          </w:p>
        </w:tc>
        <w:tc>
          <w:tcPr>
            <w:tcW w:w="717" w:type="dxa"/>
            <w:noWrap/>
          </w:tcPr>
          <w:p w14:paraId="4051C405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BD9D9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F68640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6939080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0E11EB3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10. Excesos de provisiones </w:t>
            </w:r>
          </w:p>
        </w:tc>
        <w:tc>
          <w:tcPr>
            <w:tcW w:w="717" w:type="dxa"/>
            <w:noWrap/>
          </w:tcPr>
          <w:p w14:paraId="3763ACF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5EE735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7CAB52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81.783,13</w:t>
            </w:r>
          </w:p>
        </w:tc>
      </w:tr>
      <w:tr w:rsidR="0019587B" w:rsidRPr="009A3851" w14:paraId="570BD3B0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61B4C5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11. Deterioro y resultado por enajenaciones del inmovilizado </w:t>
            </w:r>
          </w:p>
        </w:tc>
        <w:tc>
          <w:tcPr>
            <w:tcW w:w="717" w:type="dxa"/>
            <w:noWrap/>
          </w:tcPr>
          <w:p w14:paraId="604CE7F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16BF5A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25BCCCD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0544E22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BC4DC0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 y pérdidas </w:t>
            </w:r>
          </w:p>
        </w:tc>
        <w:tc>
          <w:tcPr>
            <w:tcW w:w="717" w:type="dxa"/>
            <w:noWrap/>
          </w:tcPr>
          <w:p w14:paraId="4A397C2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A5C402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014FDA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5E4F92C1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D462CF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 </w:t>
            </w:r>
          </w:p>
        </w:tc>
        <w:tc>
          <w:tcPr>
            <w:tcW w:w="717" w:type="dxa"/>
            <w:noWrap/>
          </w:tcPr>
          <w:p w14:paraId="6838E06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906420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02032F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437CBC07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DBDE755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12. Diferencia negativa de combinaciones de negocio </w:t>
            </w:r>
          </w:p>
        </w:tc>
        <w:tc>
          <w:tcPr>
            <w:tcW w:w="717" w:type="dxa"/>
            <w:noWrap/>
          </w:tcPr>
          <w:p w14:paraId="69606CF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341055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076AAA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5A2F325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4634B5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13. Otros resultados </w:t>
            </w:r>
          </w:p>
        </w:tc>
        <w:tc>
          <w:tcPr>
            <w:tcW w:w="717" w:type="dxa"/>
            <w:noWrap/>
          </w:tcPr>
          <w:p w14:paraId="5760C74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6C9486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-2.812,80</w:t>
            </w:r>
          </w:p>
        </w:tc>
        <w:tc>
          <w:tcPr>
            <w:tcW w:w="1301" w:type="dxa"/>
            <w:noWrap/>
          </w:tcPr>
          <w:p w14:paraId="62EC7DC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-19.667,12</w:t>
            </w:r>
          </w:p>
        </w:tc>
      </w:tr>
      <w:tr w:rsidR="0019587B" w:rsidRPr="009A3851" w14:paraId="32A2E14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756ABD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A.1) RESULTADO DE EXPLOTACIÓN (1+2+3+4+5+6+7+8+9+10+11+12+13) </w:t>
            </w:r>
          </w:p>
        </w:tc>
        <w:tc>
          <w:tcPr>
            <w:tcW w:w="717" w:type="dxa"/>
            <w:noWrap/>
          </w:tcPr>
          <w:p w14:paraId="530AD89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2247E0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4.645.214,59</w:t>
            </w:r>
          </w:p>
        </w:tc>
        <w:tc>
          <w:tcPr>
            <w:tcW w:w="1301" w:type="dxa"/>
            <w:noWrap/>
          </w:tcPr>
          <w:p w14:paraId="2D04F7C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6.676.963,76</w:t>
            </w:r>
          </w:p>
        </w:tc>
      </w:tr>
      <w:tr w:rsidR="0019587B" w:rsidRPr="009A3851" w14:paraId="37AC68F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DA8C239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14. Ingresos financieros </w:t>
            </w:r>
          </w:p>
        </w:tc>
        <w:tc>
          <w:tcPr>
            <w:tcW w:w="717" w:type="dxa"/>
            <w:noWrap/>
          </w:tcPr>
          <w:p w14:paraId="3E2FDA5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CD879C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995,03</w:t>
            </w:r>
          </w:p>
        </w:tc>
        <w:tc>
          <w:tcPr>
            <w:tcW w:w="1301" w:type="dxa"/>
            <w:noWrap/>
          </w:tcPr>
          <w:p w14:paraId="27C47AE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656.711,06</w:t>
            </w:r>
          </w:p>
        </w:tc>
      </w:tr>
      <w:tr w:rsidR="0019587B" w:rsidRPr="009A3851" w14:paraId="48D26993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6C44365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 participaciones en instrumentos de patrimonio </w:t>
            </w:r>
          </w:p>
        </w:tc>
        <w:tc>
          <w:tcPr>
            <w:tcW w:w="717" w:type="dxa"/>
            <w:noWrap/>
          </w:tcPr>
          <w:p w14:paraId="0FE529D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5837B6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40,95</w:t>
            </w:r>
          </w:p>
        </w:tc>
        <w:tc>
          <w:tcPr>
            <w:tcW w:w="1301" w:type="dxa"/>
            <w:noWrap/>
          </w:tcPr>
          <w:p w14:paraId="00228EF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19587B" w:rsidRPr="009A3851" w14:paraId="306743FA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B2904D2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a1) En empresas del grupo y asociadas </w:t>
            </w:r>
          </w:p>
        </w:tc>
        <w:tc>
          <w:tcPr>
            <w:tcW w:w="717" w:type="dxa"/>
            <w:noWrap/>
          </w:tcPr>
          <w:p w14:paraId="7FAABB0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3D644C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40,95</w:t>
            </w:r>
          </w:p>
        </w:tc>
        <w:tc>
          <w:tcPr>
            <w:tcW w:w="1301" w:type="dxa"/>
            <w:noWrap/>
          </w:tcPr>
          <w:p w14:paraId="5E1A421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</w:tr>
      <w:tr w:rsidR="0019587B" w:rsidRPr="009A3851" w14:paraId="108ADD69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4A7A7D0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a2) En terceros </w:t>
            </w:r>
          </w:p>
        </w:tc>
        <w:tc>
          <w:tcPr>
            <w:tcW w:w="717" w:type="dxa"/>
            <w:noWrap/>
          </w:tcPr>
          <w:p w14:paraId="2EDD8FC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4E2C95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B532A4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5B42233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A5CCE4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De valores negociables y otros instrumentos financieros </w:t>
            </w:r>
          </w:p>
        </w:tc>
        <w:tc>
          <w:tcPr>
            <w:tcW w:w="717" w:type="dxa"/>
            <w:noWrap/>
          </w:tcPr>
          <w:p w14:paraId="1562381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40D6F1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954,08</w:t>
            </w:r>
          </w:p>
        </w:tc>
        <w:tc>
          <w:tcPr>
            <w:tcW w:w="1301" w:type="dxa"/>
            <w:noWrap/>
          </w:tcPr>
          <w:p w14:paraId="426C994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</w:tr>
      <w:tr w:rsidR="0019587B" w:rsidRPr="009A3851" w14:paraId="4B9FFA9D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34E0C0A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b1) De empresas del grupo y asociadas </w:t>
            </w:r>
          </w:p>
        </w:tc>
        <w:tc>
          <w:tcPr>
            <w:tcW w:w="717" w:type="dxa"/>
            <w:noWrap/>
          </w:tcPr>
          <w:p w14:paraId="3430964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4702EA6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5E84B5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00E691A1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35E2BF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b2) De terceros </w:t>
            </w:r>
          </w:p>
        </w:tc>
        <w:tc>
          <w:tcPr>
            <w:tcW w:w="717" w:type="dxa"/>
            <w:noWrap/>
          </w:tcPr>
          <w:p w14:paraId="5ECA18F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A2BD0D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954,08</w:t>
            </w:r>
          </w:p>
        </w:tc>
        <w:tc>
          <w:tcPr>
            <w:tcW w:w="1301" w:type="dxa"/>
            <w:noWrap/>
          </w:tcPr>
          <w:p w14:paraId="4DF6675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656.461,02</w:t>
            </w:r>
          </w:p>
        </w:tc>
      </w:tr>
      <w:tr w:rsidR="0019587B" w:rsidRPr="009A3851" w14:paraId="452D2E8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86D82F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Imputación de subvenciones de carácter financiero </w:t>
            </w:r>
          </w:p>
        </w:tc>
        <w:tc>
          <w:tcPr>
            <w:tcW w:w="717" w:type="dxa"/>
            <w:noWrap/>
          </w:tcPr>
          <w:p w14:paraId="0C46F1E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8BB605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76C6A0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810B40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15EE33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15. Gastos financieros </w:t>
            </w:r>
          </w:p>
        </w:tc>
        <w:tc>
          <w:tcPr>
            <w:tcW w:w="717" w:type="dxa"/>
            <w:noWrap/>
          </w:tcPr>
          <w:p w14:paraId="604047B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D0D20D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-32.318,07</w:t>
            </w:r>
          </w:p>
        </w:tc>
        <w:tc>
          <w:tcPr>
            <w:tcW w:w="1301" w:type="dxa"/>
            <w:noWrap/>
          </w:tcPr>
          <w:p w14:paraId="1BB273C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</w:tr>
      <w:tr w:rsidR="0019587B" w:rsidRPr="009A3851" w14:paraId="562DD875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3D70107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Por deudas con empresas del grupo y asociadas </w:t>
            </w:r>
          </w:p>
        </w:tc>
        <w:tc>
          <w:tcPr>
            <w:tcW w:w="717" w:type="dxa"/>
            <w:noWrap/>
          </w:tcPr>
          <w:p w14:paraId="0A4F41E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D9F5AD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56D890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E8EE11A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7D5EC5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Por deudas con terceros </w:t>
            </w:r>
          </w:p>
        </w:tc>
        <w:tc>
          <w:tcPr>
            <w:tcW w:w="717" w:type="dxa"/>
            <w:noWrap/>
          </w:tcPr>
          <w:p w14:paraId="24D8149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09B39B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-32.318,07</w:t>
            </w:r>
          </w:p>
        </w:tc>
        <w:tc>
          <w:tcPr>
            <w:tcW w:w="1301" w:type="dxa"/>
            <w:noWrap/>
          </w:tcPr>
          <w:p w14:paraId="2E026FF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-69.485,03</w:t>
            </w:r>
          </w:p>
        </w:tc>
      </w:tr>
      <w:tr w:rsidR="0019587B" w:rsidRPr="009A3851" w14:paraId="4505E3BE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A5E7205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Por actualización de provisiones </w:t>
            </w:r>
          </w:p>
        </w:tc>
        <w:tc>
          <w:tcPr>
            <w:tcW w:w="717" w:type="dxa"/>
            <w:noWrap/>
          </w:tcPr>
          <w:p w14:paraId="5448FFE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F8E5C2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6372C53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664EEF5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DFED268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16. Variación de valor razonable en instrumentos financieros </w:t>
            </w:r>
          </w:p>
        </w:tc>
        <w:tc>
          <w:tcPr>
            <w:tcW w:w="717" w:type="dxa"/>
            <w:noWrap/>
          </w:tcPr>
          <w:p w14:paraId="03DAA63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6275BE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5EFE8C0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09951B7D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7D40ADA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Cartera de negociación y otros </w:t>
            </w:r>
          </w:p>
        </w:tc>
        <w:tc>
          <w:tcPr>
            <w:tcW w:w="717" w:type="dxa"/>
            <w:noWrap/>
          </w:tcPr>
          <w:p w14:paraId="3553B43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735913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D1213F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390C53A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84C50B2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17. Diferencias de cambio </w:t>
            </w:r>
          </w:p>
        </w:tc>
        <w:tc>
          <w:tcPr>
            <w:tcW w:w="717" w:type="dxa"/>
            <w:noWrap/>
          </w:tcPr>
          <w:p w14:paraId="62C07EA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DC88DA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-55.959,76</w:t>
            </w:r>
          </w:p>
        </w:tc>
        <w:tc>
          <w:tcPr>
            <w:tcW w:w="1301" w:type="dxa"/>
            <w:noWrap/>
          </w:tcPr>
          <w:p w14:paraId="61EF6BED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-11.735,88</w:t>
            </w:r>
          </w:p>
        </w:tc>
      </w:tr>
      <w:tr w:rsidR="0019587B" w:rsidRPr="009A3851" w14:paraId="3699CFD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28F18DA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18. Deterioro y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por enajenaciones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instrum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financieros </w:t>
            </w:r>
          </w:p>
        </w:tc>
        <w:tc>
          <w:tcPr>
            <w:tcW w:w="717" w:type="dxa"/>
            <w:noWrap/>
          </w:tcPr>
          <w:p w14:paraId="55D4EA2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428D9B9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-6.880,10</w:t>
            </w:r>
          </w:p>
        </w:tc>
        <w:tc>
          <w:tcPr>
            <w:tcW w:w="1301" w:type="dxa"/>
            <w:noWrap/>
          </w:tcPr>
          <w:p w14:paraId="0E35877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9587B" w:rsidRPr="009A3851" w14:paraId="04C6722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5C76A7C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Deterioros y pérdidas </w:t>
            </w:r>
          </w:p>
        </w:tc>
        <w:tc>
          <w:tcPr>
            <w:tcW w:w="717" w:type="dxa"/>
            <w:noWrap/>
          </w:tcPr>
          <w:p w14:paraId="0E4CE8C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78B941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0BD99E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40EE0C18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C15712C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 </w:t>
            </w:r>
          </w:p>
        </w:tc>
        <w:tc>
          <w:tcPr>
            <w:tcW w:w="717" w:type="dxa"/>
            <w:noWrap/>
          </w:tcPr>
          <w:p w14:paraId="6DA37CC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33F5FBE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-6.880,10</w:t>
            </w:r>
          </w:p>
        </w:tc>
        <w:tc>
          <w:tcPr>
            <w:tcW w:w="1301" w:type="dxa"/>
            <w:noWrap/>
          </w:tcPr>
          <w:p w14:paraId="7ECE06F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9587B" w:rsidRPr="009A3851" w14:paraId="41856641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752D0F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19. Otros ingresos y gastos de carácter financiero </w:t>
            </w:r>
          </w:p>
        </w:tc>
        <w:tc>
          <w:tcPr>
            <w:tcW w:w="717" w:type="dxa"/>
            <w:noWrap/>
          </w:tcPr>
          <w:p w14:paraId="0F27117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68D68AA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099202E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0A10A7B7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5B09066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Incorporación al activo de gastos financieros </w:t>
            </w:r>
          </w:p>
        </w:tc>
        <w:tc>
          <w:tcPr>
            <w:tcW w:w="717" w:type="dxa"/>
            <w:noWrap/>
          </w:tcPr>
          <w:p w14:paraId="51A0692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1EEDDA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3BB0DE4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72548CB9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BFEE0B0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Ingresos financieros derivados de convenios de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acreed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17" w:type="dxa"/>
            <w:noWrap/>
          </w:tcPr>
          <w:p w14:paraId="3BFE852C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E47BC8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1118753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5E4D882C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30A790B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Resto de ingresos y gastos </w:t>
            </w:r>
          </w:p>
        </w:tc>
        <w:tc>
          <w:tcPr>
            <w:tcW w:w="717" w:type="dxa"/>
            <w:noWrap/>
          </w:tcPr>
          <w:p w14:paraId="276696F7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25BA5235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7F071E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78D44EFE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F6DEC1B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A.2) RESULTADO FINANCIERO (14+15+16+17+18+19) </w:t>
            </w:r>
          </w:p>
        </w:tc>
        <w:tc>
          <w:tcPr>
            <w:tcW w:w="717" w:type="dxa"/>
            <w:noWrap/>
          </w:tcPr>
          <w:p w14:paraId="1707A5C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B6F47D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-94.162,90</w:t>
            </w:r>
          </w:p>
        </w:tc>
        <w:tc>
          <w:tcPr>
            <w:tcW w:w="1301" w:type="dxa"/>
            <w:noWrap/>
          </w:tcPr>
          <w:p w14:paraId="1724C63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575.490,15</w:t>
            </w:r>
          </w:p>
        </w:tc>
      </w:tr>
      <w:tr w:rsidR="0019587B" w:rsidRPr="009A3851" w14:paraId="697F7D1B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3E75685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A.3) RESULTADO ANTES DE IMPUESTOS (A.1+A.2) </w:t>
            </w:r>
          </w:p>
        </w:tc>
        <w:tc>
          <w:tcPr>
            <w:tcW w:w="717" w:type="dxa"/>
            <w:noWrap/>
          </w:tcPr>
          <w:p w14:paraId="5CEEE3B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3A1B9B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4.551.051,69</w:t>
            </w:r>
          </w:p>
        </w:tc>
        <w:tc>
          <w:tcPr>
            <w:tcW w:w="1301" w:type="dxa"/>
            <w:noWrap/>
          </w:tcPr>
          <w:p w14:paraId="7E5DA49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7.252.453,91</w:t>
            </w:r>
          </w:p>
        </w:tc>
      </w:tr>
      <w:tr w:rsidR="0019587B" w:rsidRPr="009A3851" w14:paraId="428A789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5AEF6F9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20. Impuestos sobre beneficios </w:t>
            </w:r>
          </w:p>
        </w:tc>
        <w:tc>
          <w:tcPr>
            <w:tcW w:w="717" w:type="dxa"/>
            <w:noWrap/>
          </w:tcPr>
          <w:p w14:paraId="2E99CF13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11.2</w:t>
            </w: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DA9DB1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-770.037,25</w:t>
            </w:r>
          </w:p>
        </w:tc>
        <w:tc>
          <w:tcPr>
            <w:tcW w:w="1301" w:type="dxa"/>
            <w:noWrap/>
          </w:tcPr>
          <w:p w14:paraId="58474E0F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-1.477.019,77</w:t>
            </w:r>
          </w:p>
        </w:tc>
      </w:tr>
      <w:tr w:rsidR="0019587B" w:rsidRPr="009A3851" w14:paraId="2113BCEA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</w:tcPr>
          <w:p w14:paraId="5540AB84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A.4) RESULTADO DEL EJERCICIO PROCEDENTE DE OP. CONTINUADAS (A.3+20) </w:t>
            </w:r>
          </w:p>
        </w:tc>
        <w:tc>
          <w:tcPr>
            <w:tcW w:w="717" w:type="dxa"/>
            <w:noWrap/>
          </w:tcPr>
          <w:p w14:paraId="2D00DA6B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14C8113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3.781.014,44</w:t>
            </w:r>
          </w:p>
        </w:tc>
        <w:tc>
          <w:tcPr>
            <w:tcW w:w="1301" w:type="dxa"/>
            <w:noWrap/>
          </w:tcPr>
          <w:p w14:paraId="5A4841DE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</w:tr>
      <w:tr w:rsidR="0019587B" w:rsidRPr="009A3851" w14:paraId="05DD4AF4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0D4319A1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B) OPERACIONES INTERRUMPIDAS </w:t>
            </w:r>
          </w:p>
        </w:tc>
        <w:tc>
          <w:tcPr>
            <w:tcW w:w="717" w:type="dxa"/>
            <w:noWrap/>
          </w:tcPr>
          <w:p w14:paraId="623AE6F0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08BA80E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75EFA6C2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455E2A8A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15912A77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21. </w:t>
            </w:r>
            <w:proofErr w:type="spellStart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del ejercicio procedente de operaciones interrumpidas neto de impuestos </w:t>
            </w:r>
          </w:p>
        </w:tc>
        <w:tc>
          <w:tcPr>
            <w:tcW w:w="717" w:type="dxa"/>
            <w:noWrap/>
          </w:tcPr>
          <w:p w14:paraId="7D16D711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70459E1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301" w:type="dxa"/>
            <w:noWrap/>
          </w:tcPr>
          <w:p w14:paraId="39CE9606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87B" w:rsidRPr="009A3851" w14:paraId="2FB117F6" w14:textId="77777777" w:rsidTr="004F7FD9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593" w:type="dxa"/>
            <w:noWrap/>
          </w:tcPr>
          <w:p w14:paraId="4892B91D" w14:textId="77777777" w:rsidR="0019587B" w:rsidRPr="009A3851" w:rsidRDefault="0019587B" w:rsidP="004F7FD9">
            <w:pPr>
              <w:suppressAutoHyphens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A.5) RESULTADO DEL EJERCICIO (A.4+21) </w:t>
            </w:r>
          </w:p>
        </w:tc>
        <w:tc>
          <w:tcPr>
            <w:tcW w:w="717" w:type="dxa"/>
            <w:noWrap/>
          </w:tcPr>
          <w:p w14:paraId="3FD4643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45" w:type="dxa"/>
            <w:noWrap/>
          </w:tcPr>
          <w:p w14:paraId="5215E4FA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3.781.014,44</w:t>
            </w:r>
          </w:p>
        </w:tc>
        <w:tc>
          <w:tcPr>
            <w:tcW w:w="1301" w:type="dxa"/>
            <w:noWrap/>
          </w:tcPr>
          <w:p w14:paraId="2CFE37D8" w14:textId="77777777" w:rsidR="0019587B" w:rsidRPr="009A3851" w:rsidRDefault="0019587B" w:rsidP="004F7FD9">
            <w:pPr>
              <w:suppressAutoHyphens w:val="0"/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9A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5.775.434,14</w:t>
            </w:r>
          </w:p>
        </w:tc>
      </w:tr>
    </w:tbl>
    <w:p w14:paraId="375B21F6" w14:textId="77777777" w:rsidR="0019587B" w:rsidRDefault="0019587B" w:rsidP="0019587B">
      <w:pPr>
        <w:spacing w:before="0" w:after="160" w:line="259" w:lineRule="auto"/>
        <w:jc w:val="center"/>
        <w:rPr>
          <w:rFonts w:ascii="Calibri" w:hAnsi="Calibri" w:cs="Calibri"/>
          <w:b/>
          <w:szCs w:val="22"/>
          <w:lang w:val="en-US"/>
        </w:rPr>
      </w:pPr>
    </w:p>
    <w:p w14:paraId="3E329C01" w14:textId="77777777" w:rsidR="0019587B" w:rsidRDefault="0019587B" w:rsidP="0019587B">
      <w:pPr>
        <w:spacing w:before="0" w:after="160" w:line="259" w:lineRule="auto"/>
        <w:jc w:val="center"/>
        <w:rPr>
          <w:rFonts w:ascii="Calibri" w:hAnsi="Calibri" w:cs="Calibri"/>
          <w:b/>
          <w:szCs w:val="22"/>
          <w:lang w:val="en-US"/>
        </w:rPr>
      </w:pPr>
    </w:p>
    <w:p w14:paraId="37F0FE93" w14:textId="198CFBEF" w:rsidR="0019587B" w:rsidRDefault="0019587B" w:rsidP="0019587B">
      <w:pPr>
        <w:spacing w:before="0" w:after="160" w:line="259" w:lineRule="auto"/>
        <w:jc w:val="center"/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>CANARIAS SUBMARINE LINK, S.L.U.</w:t>
      </w:r>
    </w:p>
    <w:p w14:paraId="33632ECF" w14:textId="77777777" w:rsidR="0019587B" w:rsidRDefault="0019587B" w:rsidP="0019587B">
      <w:pPr>
        <w:spacing w:before="0" w:after="0"/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tbl>
      <w:tblPr>
        <w:tblW w:w="9108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5"/>
        <w:gridCol w:w="993"/>
        <w:gridCol w:w="1355"/>
        <w:gridCol w:w="1075"/>
      </w:tblGrid>
      <w:tr w:rsidR="0019587B" w:rsidRPr="00925D79" w14:paraId="18020ABD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79A21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Nombre sociedad: CANARIAS SUBMARINE LINK, S.L.U.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0E98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B1470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C0253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587B" w:rsidRPr="00925D79" w14:paraId="41608C1A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2AD6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24F55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A5BB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CCA7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9587B" w:rsidRPr="00925D79" w14:paraId="7BFFDEC8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EB9CDC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 w:rsidRPr="00925D79">
              <w:rPr>
                <w:rFonts w:cs="Arial"/>
                <w:b/>
                <w:bCs/>
                <w:sz w:val="20"/>
                <w:szCs w:val="20"/>
              </w:rPr>
              <w:t>Estado de cambios en el patrimonio neto del ejercicio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D6E7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40DE5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5E070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9587B" w:rsidRPr="00925D79" w14:paraId="46BD15D1" w14:textId="77777777" w:rsidTr="004F7FD9">
        <w:trPr>
          <w:trHeight w:val="27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2A468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9E61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D2F6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FCEC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9587B" w:rsidRPr="00925D79" w14:paraId="49E28713" w14:textId="77777777" w:rsidTr="004F7FD9">
        <w:trPr>
          <w:trHeight w:val="47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5EFAC51F" w14:textId="77777777" w:rsidR="0019587B" w:rsidRPr="00925D79" w:rsidRDefault="0019587B" w:rsidP="004F7FD9">
            <w:pPr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25D79">
              <w:rPr>
                <w:rFonts w:cs="Arial"/>
                <w:b/>
                <w:bCs/>
                <w:sz w:val="20"/>
                <w:szCs w:val="20"/>
              </w:rPr>
              <w:t>ESTADO DE INGRESOS Y GASTOS (Euros)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5691A11" w14:textId="77777777" w:rsidR="0019587B" w:rsidRPr="00925D79" w:rsidRDefault="0019587B" w:rsidP="004F7FD9">
            <w:pPr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Nota de la Memoria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C19D5EB" w14:textId="77777777" w:rsidR="0019587B" w:rsidRPr="00925D79" w:rsidRDefault="0019587B" w:rsidP="004F7FD9">
            <w:pPr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Importe 202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63066BF" w14:textId="77777777" w:rsidR="0019587B" w:rsidRPr="00925D79" w:rsidRDefault="0019587B" w:rsidP="004F7FD9">
            <w:pPr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Importe 20</w:t>
            </w:r>
            <w:r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</w:tr>
      <w:tr w:rsidR="0019587B" w:rsidRPr="00925D79" w14:paraId="320137E3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264CE01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3FB7A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748F53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AB5C4F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</w:tr>
      <w:tr w:rsidR="0019587B" w:rsidRPr="00925D79" w14:paraId="7F7EF164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3C9DC9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20D15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0AF47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50F2CA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</w:tr>
      <w:tr w:rsidR="0019587B" w:rsidRPr="00925D79" w14:paraId="7F743E86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3FF8A81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Resultado de la cuenta de pérdidas y ganancias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715666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0C513C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3.781.014,44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953DE5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5.775.434,14</w:t>
            </w:r>
          </w:p>
        </w:tc>
      </w:tr>
      <w:tr w:rsidR="0019587B" w:rsidRPr="00925D79" w14:paraId="47DB0578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98F8DB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Ingresos y gastos imputados directamente al patrimonio neto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3BB89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26156F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111838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244BB36F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86DA05D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I. Por valoración de instrumentos financieros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ADEC78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55ABE3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AFD357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3C357D1B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072F6280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 xml:space="preserve">      1. Activos financieros disponibles para la venta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E26C51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623285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390305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1E715AAB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B0D47AD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 xml:space="preserve">      3. Otros ingresos/gastos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83B400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9D6375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FD31E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49CA4460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DB0187A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II. Por coberturas de flujos de efectivo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A7EFA9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2239A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3C926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6279FF63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ADFC7A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III. Subvenciones, donaciones y legados recibidos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BBB9DA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D59878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46F6E1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2B109648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D475725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IV. Por ganancias y pérdidas actuariales y otros ajustes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73302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9CA447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56F563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5A482693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6620E4A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V. Efecto impositivo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CB0752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4B7D9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66DB868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5BC7C576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CFCC978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C9C1EF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21B049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74BEC8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28384458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9EF32A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TOTAL INGRESOS Y GASTOS IMPUTADOS DIRECTAMENTE EN EL PATRIMONIO NETO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773B5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2D1A9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6177A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9587B" w:rsidRPr="00925D79" w14:paraId="2391545E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1A2B56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168E5B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6013A6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E91F0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9587B" w:rsidRPr="00925D79" w14:paraId="55437581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95E6C1F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Transferencias a la cuenta de pérdidas y ganancias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666B029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80F900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DD4240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3F93514B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7FFB10E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VI. Por valoración de instrumentos financieros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381BBC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8CD73C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C29EDC5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237A6020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1A282F7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1. Activos financieros disponibles para la venta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6F39B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3C4BCA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344CF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5276E849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8C679C7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2. Otros ingresos/gastos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3A8C13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1CAB5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E6EF4B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70B88D9E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6BA22C5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VII. Por coberturas de flujos de efectivo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D4A8C6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5B792B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4413C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2F8C6F4B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731DD7AE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VIII. Subvenciones, donaciones y legados recibidos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E8117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F3DC2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52762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09109421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9966D02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IX. Efecto impositivo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E0BA9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6437E1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C0B5EF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6682723B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C0F64A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95D42E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F9BD4D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E035F2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925D79">
              <w:rPr>
                <w:rFonts w:cs="Arial"/>
                <w:sz w:val="16"/>
                <w:szCs w:val="16"/>
              </w:rPr>
              <w:t> </w:t>
            </w:r>
          </w:p>
        </w:tc>
      </w:tr>
      <w:tr w:rsidR="0019587B" w:rsidRPr="00925D79" w14:paraId="71AD5D5A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565422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TOTAL TRANSFERENCIAS A LA CUENTA DE PÉRDIDAS Y GANANCIAS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A7FAFC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545217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DE0D3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9587B" w:rsidRPr="00925D79" w14:paraId="351827CD" w14:textId="77777777" w:rsidTr="004F7FD9">
        <w:trPr>
          <w:trHeight w:val="258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2E34141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4B2253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70771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96466B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9587B" w:rsidRPr="00925D79" w14:paraId="76040C78" w14:textId="77777777" w:rsidTr="004F7FD9">
        <w:trPr>
          <w:trHeight w:val="258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7ABBAE66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TOTAL DE INGRESOS Y GASTOS RECONOCIDOS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D1E7179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b/>
                <w:bCs/>
                <w:sz w:val="16"/>
                <w:szCs w:val="16"/>
              </w:rPr>
            </w:pPr>
            <w:r w:rsidRPr="00925D79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3F3F084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3.781.014,44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05EF5AF" w14:textId="77777777" w:rsidR="0019587B" w:rsidRPr="00925D79" w:rsidRDefault="0019587B" w:rsidP="004F7FD9">
            <w:pPr>
              <w:suppressAutoHyphens w:val="0"/>
              <w:spacing w:before="0"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5.775.434,14</w:t>
            </w:r>
          </w:p>
        </w:tc>
      </w:tr>
      <w:tr w:rsidR="0019587B" w:rsidRPr="00925D79" w14:paraId="6DD4FF0D" w14:textId="77777777" w:rsidTr="004F7FD9">
        <w:trPr>
          <w:trHeight w:val="71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45F45E4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08FDB1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F93C2D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867220" w14:textId="77777777" w:rsidR="0019587B" w:rsidRPr="00925D79" w:rsidRDefault="0019587B" w:rsidP="004F7FD9">
            <w:p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925D79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1F49963A" w14:textId="77777777" w:rsidR="0019587B" w:rsidRDefault="0019587B" w:rsidP="0019587B">
      <w:pPr>
        <w:spacing w:before="0" w:after="0"/>
        <w:rPr>
          <w:rFonts w:ascii="Calibri" w:hAnsi="Calibri" w:cs="Calibri"/>
          <w:b/>
          <w:sz w:val="22"/>
          <w:szCs w:val="22"/>
          <w:lang w:val="fr-FR"/>
        </w:rPr>
      </w:pPr>
    </w:p>
    <w:p w14:paraId="70FFBF8C" w14:textId="60A1E469" w:rsidR="006D6CEF" w:rsidRPr="0019587B" w:rsidRDefault="006D6CEF" w:rsidP="0019587B">
      <w:bookmarkStart w:id="0" w:name="_GoBack"/>
      <w:bookmarkEnd w:id="0"/>
    </w:p>
    <w:sectPr w:rsidR="006D6CEF" w:rsidRPr="0019587B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EED"/>
    <w:multiLevelType w:val="hybridMultilevel"/>
    <w:tmpl w:val="680C1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74A"/>
    <w:multiLevelType w:val="hybridMultilevel"/>
    <w:tmpl w:val="E228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81719"/>
    <w:multiLevelType w:val="hybridMultilevel"/>
    <w:tmpl w:val="A86E2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9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9587B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92ED2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B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uppressAutoHyphens w:val="0"/>
      <w:spacing w:before="480" w:after="0" w:line="276" w:lineRule="auto"/>
      <w:outlineLvl w:val="0"/>
    </w:pPr>
    <w:rPr>
      <w:rFonts w:ascii="Museo 700" w:eastAsiaTheme="majorEastAsia" w:hAnsi="Museo 700" w:cstheme="majorBidi"/>
      <w:b/>
      <w:bCs/>
      <w:color w:val="267BA7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uppressAutoHyphens w:val="0"/>
      <w:spacing w:before="200" w:after="0" w:line="276" w:lineRule="auto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  <w:lang w:eastAsia="en-US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uppressAutoHyphens w:val="0"/>
      <w:spacing w:before="200" w:after="0" w:line="276" w:lineRule="auto"/>
      <w:outlineLvl w:val="2"/>
    </w:pPr>
    <w:rPr>
      <w:rFonts w:ascii="Museo 700" w:eastAsiaTheme="majorEastAsia" w:hAnsi="Museo 700" w:cstheme="majorBidi"/>
      <w:b/>
      <w:bCs/>
      <w:color w:val="267BA7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3"/>
    </w:pPr>
    <w:rPr>
      <w:rFonts w:ascii="Museo 700" w:eastAsiaTheme="majorEastAsia" w:hAnsi="Museo 700" w:cstheme="majorBidi"/>
      <w:b/>
      <w:bCs/>
      <w:i/>
      <w:iCs/>
      <w:color w:val="112934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uppressAutoHyphens w:val="0"/>
      <w:spacing w:before="200" w:after="0" w:line="276" w:lineRule="auto"/>
      <w:outlineLvl w:val="4"/>
    </w:pPr>
    <w:rPr>
      <w:rFonts w:asciiTheme="minorHAnsi" w:eastAsiaTheme="majorEastAsia" w:hAnsiTheme="minorHAnsi" w:cstheme="majorBidi"/>
      <w:color w:val="A6A6A6" w:themeColor="background1" w:themeShade="A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5"/>
    </w:pPr>
    <w:rPr>
      <w:rFonts w:asciiTheme="minorHAnsi" w:eastAsiaTheme="majorEastAsia" w:hAnsiTheme="minorHAnsi" w:cstheme="majorBidi"/>
      <w:i/>
      <w:iCs/>
      <w:color w:val="133D5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6"/>
    </w:pPr>
    <w:rPr>
      <w:rFonts w:ascii="Museo 300" w:eastAsiaTheme="majorEastAsia" w:hAnsi="Museo 300" w:cstheme="majorBidi"/>
      <w:i/>
      <w:iCs/>
      <w:color w:val="2C6A87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uppressAutoHyphens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uppressAutoHyphens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uppressAutoHyphens w:val="0"/>
      <w:spacing w:before="0"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uppressAutoHyphens w:val="0"/>
      <w:spacing w:before="0" w:after="300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uppressAutoHyphens w:val="0"/>
      <w:spacing w:before="80" w:after="80" w:line="276" w:lineRule="auto"/>
    </w:pPr>
    <w:rPr>
      <w:rFonts w:ascii="Museo 300" w:eastAsiaTheme="majorEastAsia" w:hAnsi="Museo 300" w:cstheme="majorBidi"/>
      <w:b/>
      <w:iCs/>
      <w:spacing w:val="15"/>
      <w:sz w:val="16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suppressAutoHyphen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uppressAutoHyphens w:val="0"/>
      <w:spacing w:before="0"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7B"/>
    <w:p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uppressAutoHyphens w:val="0"/>
      <w:spacing w:before="480" w:after="0" w:line="276" w:lineRule="auto"/>
      <w:outlineLvl w:val="0"/>
    </w:pPr>
    <w:rPr>
      <w:rFonts w:ascii="Museo 700" w:eastAsiaTheme="majorEastAsia" w:hAnsi="Museo 700" w:cstheme="majorBidi"/>
      <w:b/>
      <w:bCs/>
      <w:color w:val="267BA7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uppressAutoHyphens w:val="0"/>
      <w:spacing w:before="200" w:after="0" w:line="276" w:lineRule="auto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  <w:lang w:eastAsia="en-US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uppressAutoHyphens w:val="0"/>
      <w:spacing w:before="200" w:after="0" w:line="276" w:lineRule="auto"/>
      <w:outlineLvl w:val="2"/>
    </w:pPr>
    <w:rPr>
      <w:rFonts w:ascii="Museo 700" w:eastAsiaTheme="majorEastAsia" w:hAnsi="Museo 700" w:cstheme="majorBidi"/>
      <w:b/>
      <w:bCs/>
      <w:color w:val="267BA7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3"/>
    </w:pPr>
    <w:rPr>
      <w:rFonts w:ascii="Museo 700" w:eastAsiaTheme="majorEastAsia" w:hAnsi="Museo 700" w:cstheme="majorBidi"/>
      <w:b/>
      <w:bCs/>
      <w:i/>
      <w:iCs/>
      <w:color w:val="112934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uppressAutoHyphens w:val="0"/>
      <w:spacing w:before="200" w:after="0" w:line="276" w:lineRule="auto"/>
      <w:outlineLvl w:val="4"/>
    </w:pPr>
    <w:rPr>
      <w:rFonts w:asciiTheme="minorHAnsi" w:eastAsiaTheme="majorEastAsia" w:hAnsiTheme="minorHAnsi" w:cstheme="majorBidi"/>
      <w:color w:val="A6A6A6" w:themeColor="background1" w:themeShade="A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5"/>
    </w:pPr>
    <w:rPr>
      <w:rFonts w:asciiTheme="minorHAnsi" w:eastAsiaTheme="majorEastAsia" w:hAnsiTheme="minorHAnsi" w:cstheme="majorBidi"/>
      <w:i/>
      <w:iCs/>
      <w:color w:val="133D5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6"/>
    </w:pPr>
    <w:rPr>
      <w:rFonts w:ascii="Museo 300" w:eastAsiaTheme="majorEastAsia" w:hAnsi="Museo 300" w:cstheme="majorBidi"/>
      <w:i/>
      <w:iCs/>
      <w:color w:val="2C6A87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uppressAutoHyphens w:val="0"/>
      <w:spacing w:before="200" w:after="0" w:line="276" w:lineRule="auto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uppressAutoHyphens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uppressAutoHyphens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uppressAutoHyphens w:val="0"/>
      <w:spacing w:before="0"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uppressAutoHyphens w:val="0"/>
      <w:spacing w:before="0" w:after="300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uppressAutoHyphens w:val="0"/>
      <w:spacing w:before="80" w:after="80" w:line="276" w:lineRule="auto"/>
    </w:pPr>
    <w:rPr>
      <w:rFonts w:ascii="Museo 300" w:eastAsiaTheme="majorEastAsia" w:hAnsi="Museo 300" w:cstheme="majorBidi"/>
      <w:b/>
      <w:iCs/>
      <w:spacing w:val="15"/>
      <w:sz w:val="16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suppressAutoHyphen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uppressAutoHyphens w:val="0"/>
      <w:spacing w:before="0"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purl.org/dc/elements/1.1/"/>
    <ds:schemaRef ds:uri="http://purl.org/dc/terms/"/>
    <ds:schemaRef ds:uri="615f5aeb-7a75-4847-8b5e-fc080f6fa3c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22fe289-cbf0-4b28-a36e-6276c7cbe3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005B4-C188-4211-BC47-69B3F049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3</cp:revision>
  <cp:lastPrinted>2022-06-24T12:03:00Z</cp:lastPrinted>
  <dcterms:created xsi:type="dcterms:W3CDTF">2022-06-24T12:03:00Z</dcterms:created>
  <dcterms:modified xsi:type="dcterms:W3CDTF">2022-06-24T12:09:00Z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