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F0" w:rsidRDefault="008E2CF0" w:rsidP="008E2CF0">
      <w:pPr>
        <w:spacing w:before="0" w:after="160" w:line="259" w:lineRule="auto"/>
        <w:jc w:val="center"/>
        <w:rPr>
          <w:rFonts w:ascii="Calibri" w:hAnsi="Calibri" w:cs="Calibri"/>
          <w:b/>
          <w:sz w:val="20"/>
          <w:szCs w:val="20"/>
          <w:lang w:val="en-US"/>
        </w:rPr>
      </w:pPr>
      <w:r>
        <w:rPr>
          <w:rFonts w:ascii="Calibri" w:hAnsi="Calibri" w:cs="Calibri"/>
          <w:b/>
          <w:sz w:val="20"/>
          <w:szCs w:val="20"/>
          <w:lang w:val="en-US"/>
        </w:rPr>
        <w:t>CANARIAS SUBMARINE LINK, S.L.U.</w:t>
      </w:r>
    </w:p>
    <w:p w:rsidR="008E2CF0" w:rsidRDefault="008E2CF0" w:rsidP="008E2CF0">
      <w:pPr>
        <w:spacing w:before="0" w:after="0"/>
        <w:jc w:val="center"/>
        <w:rPr>
          <w:rFonts w:ascii="Calibri" w:hAnsi="Calibri" w:cs="Calibri"/>
          <w:b/>
          <w:sz w:val="16"/>
          <w:szCs w:val="16"/>
          <w:lang w:val="en-US"/>
        </w:rPr>
      </w:pPr>
    </w:p>
    <w:tbl>
      <w:tblPr>
        <w:tblW w:w="10320" w:type="dxa"/>
        <w:tblLayout w:type="fixed"/>
        <w:tblLook w:val="0000" w:firstRow="0" w:lastRow="0" w:firstColumn="0" w:lastColumn="0" w:noHBand="0" w:noVBand="0"/>
      </w:tblPr>
      <w:tblGrid>
        <w:gridCol w:w="5955"/>
        <w:gridCol w:w="1021"/>
        <w:gridCol w:w="1634"/>
        <w:gridCol w:w="1710"/>
      </w:tblGrid>
      <w:tr w:rsidR="008E2CF0" w:rsidTr="007A2A5B">
        <w:trPr>
          <w:trHeight w:val="360"/>
        </w:trPr>
        <w:tc>
          <w:tcPr>
            <w:tcW w:w="5954" w:type="dxa"/>
            <w:shd w:val="clear" w:color="auto" w:fill="B2B2B2"/>
          </w:tcPr>
          <w:p w:rsidR="008E2CF0" w:rsidRDefault="008E2CF0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Pérdidas y Ganancias</w:t>
            </w:r>
          </w:p>
        </w:tc>
        <w:tc>
          <w:tcPr>
            <w:tcW w:w="1021" w:type="dxa"/>
            <w:shd w:val="clear" w:color="auto" w:fill="B2B2B2"/>
          </w:tcPr>
          <w:p w:rsidR="008E2CF0" w:rsidRDefault="008E2CF0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</w:t>
            </w:r>
          </w:p>
        </w:tc>
        <w:tc>
          <w:tcPr>
            <w:tcW w:w="1634" w:type="dxa"/>
            <w:shd w:val="clear" w:color="auto" w:fill="B2B2B2"/>
          </w:tcPr>
          <w:p w:rsidR="008E2CF0" w:rsidRDefault="008E2CF0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2.020</w:t>
            </w:r>
          </w:p>
        </w:tc>
        <w:tc>
          <w:tcPr>
            <w:tcW w:w="1710" w:type="dxa"/>
            <w:shd w:val="clear" w:color="auto" w:fill="B2B2B2"/>
          </w:tcPr>
          <w:p w:rsidR="008E2CF0" w:rsidRDefault="008E2CF0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2.019</w:t>
            </w:r>
          </w:p>
        </w:tc>
      </w:tr>
      <w:tr w:rsidR="008E2CF0" w:rsidTr="007A2A5B">
        <w:trPr>
          <w:trHeight w:val="199"/>
        </w:trPr>
        <w:tc>
          <w:tcPr>
            <w:tcW w:w="5954" w:type="dxa"/>
            <w:shd w:val="clear" w:color="auto" w:fill="B2B2B2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A) OPERACIONES CONTINUADAS</w:t>
            </w:r>
          </w:p>
        </w:tc>
        <w:tc>
          <w:tcPr>
            <w:tcW w:w="1021" w:type="dxa"/>
            <w:shd w:val="clear" w:color="auto" w:fill="B2B2B2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shd w:val="clear" w:color="auto" w:fill="B2B2B2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  <w:shd w:val="clear" w:color="auto" w:fill="B2B2B2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1. Importe neto de la cifra de negocios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19.941.120,19</w:t>
            </w: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20.647.208,29</w:t>
            </w: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Ventas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Prestaciones de servicios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19.941.120,19</w:t>
            </w: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20.647.208,29</w:t>
            </w: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c) Ingresos de carácter financiero de las sociedades holding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2. Variación de existencias de productos terminados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3. Trabajos realizados por la empresa para su activo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4. Aprovisionamientos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-1.029.945,30</w:t>
            </w: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-1.546.932,99</w:t>
            </w: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Consumo de mercaderías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Consumo de materias primas y o/materias consumibles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-1.029.945,30</w:t>
            </w: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-1.546.932,99</w:t>
            </w: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c) Trabajos realizados por otras empresas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d) Deterioro de mercaderías y otros aprovisionamientos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5. Otros ingresos de explotación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19.622,68</w:t>
            </w: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189.154,23</w:t>
            </w: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Ingresos accesorios y otros de gestión corriente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19.622,68</w:t>
            </w: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189.154,23</w:t>
            </w: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Subvenciones explotación incorporadas al </w:t>
            </w:r>
            <w:proofErr w:type="spellStart"/>
            <w:r>
              <w:rPr>
                <w:rFonts w:ascii="Calibri" w:hAnsi="Calibri" w:cs="Calibri"/>
                <w:color w:val="000000"/>
                <w:sz w:val="17"/>
                <w:szCs w:val="17"/>
              </w:rPr>
              <w:t>Rtdo.ejercicio</w:t>
            </w:r>
            <w:proofErr w:type="spellEnd"/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6. Gastos de personal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-728.162,18</w:t>
            </w: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-661.573,94</w:t>
            </w: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Sueldos, salarios y asimilados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-493.530,60</w:t>
            </w: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-440.665,86</w:t>
            </w: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Cargas sociales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-234.631,58</w:t>
            </w: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-220.908,08</w:t>
            </w: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c) Provisiones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7. Otros gastos de explotación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-7.694.911,73</w:t>
            </w: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-7.825.850,56</w:t>
            </w: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Servicios exteriores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-7.854.888,47</w:t>
            </w: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-7.525.892,75</w:t>
            </w: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Tributos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-380.023,20</w:t>
            </w: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-295.726,19</w:t>
            </w: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c) Pérdidas, deterioro y variación prov. por operaciones </w:t>
            </w:r>
            <w:proofErr w:type="spellStart"/>
            <w:r>
              <w:rPr>
                <w:rFonts w:ascii="Calibri" w:hAnsi="Calibri" w:cs="Calibri"/>
                <w:color w:val="000000"/>
                <w:sz w:val="17"/>
                <w:szCs w:val="17"/>
              </w:rPr>
              <w:t>ciales</w:t>
            </w:r>
            <w:proofErr w:type="spellEnd"/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540.000,00</w:t>
            </w: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d) Otros gastos de gestión corriente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-0,06</w:t>
            </w: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-4231,62</w:t>
            </w: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e) Gastos por emisión de gases de efecto invernadero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8. Amortización del inmovilizado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5-7</w:t>
            </w: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-3.892.875,91</w:t>
            </w: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-3.771.448,32</w:t>
            </w: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9. Imputación de subvenciones inmovilizado no financiero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10. Excesos de provisiones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81.783,13</w:t>
            </w: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11. Deterioro y resultado por enajenaciones del inmovilizado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Deterioro y pérdidas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Resultados por enajenaciones y otras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12. Diferencia negativa de combinaciones de negocio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13. Otros resultados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-19.667,12</w:t>
            </w: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-17.910,46</w:t>
            </w:r>
          </w:p>
        </w:tc>
      </w:tr>
      <w:tr w:rsidR="008E2CF0" w:rsidTr="007A2A5B">
        <w:trPr>
          <w:trHeight w:val="199"/>
        </w:trPr>
        <w:tc>
          <w:tcPr>
            <w:tcW w:w="5954" w:type="dxa"/>
            <w:shd w:val="clear" w:color="auto" w:fill="B2B2B2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A.1) RESULTADO DE EXPLOTACIÓN (1+2+3+4+5+6+7+8+9+10+11+12+13)</w:t>
            </w:r>
          </w:p>
        </w:tc>
        <w:tc>
          <w:tcPr>
            <w:tcW w:w="1021" w:type="dxa"/>
            <w:shd w:val="clear" w:color="auto" w:fill="B2B2B2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shd w:val="clear" w:color="auto" w:fill="B2B2B2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6.676.963,76</w:t>
            </w:r>
          </w:p>
        </w:tc>
        <w:tc>
          <w:tcPr>
            <w:tcW w:w="1710" w:type="dxa"/>
            <w:shd w:val="clear" w:color="auto" w:fill="B2B2B2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7.012.646,25</w:t>
            </w: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14. Ingresos financieros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656.711,06</w:t>
            </w: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257,52</w:t>
            </w: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De participaciones en instrumentos de patrimonio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250,04</w:t>
            </w: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250,04</w:t>
            </w: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    a1) En empresas del grupo y asociadas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250,04</w:t>
            </w: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250,04</w:t>
            </w: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    a2) En terceros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De valores negociables y otros instrumentos financieros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656.461,02</w:t>
            </w: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7,48</w:t>
            </w: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    b1) De empresas del grupo y asociadas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    b2) De terceros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656.461,02</w:t>
            </w: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7,48</w:t>
            </w: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c) Imputación de subvenciones de carácter financiero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15. Gastos financieros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-69.485,03</w:t>
            </w: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-136.867,65</w:t>
            </w: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Por deudas con empresas del grupo y asociadas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-42.487,61</w:t>
            </w: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Por deudas con terceros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-69.485,03</w:t>
            </w: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-94.380,04</w:t>
            </w: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c) Por actualización de provisiones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16. Variación de valor razonable en instrumentos financieros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Cartera de negociación y otros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17. Diferencias de cambio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-11.735,88</w:t>
            </w: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-84,98</w:t>
            </w: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18. Deterioro y </w:t>
            </w:r>
            <w:proofErr w:type="spellStart"/>
            <w:r>
              <w:rPr>
                <w:rFonts w:ascii="Calibri" w:hAnsi="Calibri" w:cs="Calibri"/>
                <w:color w:val="000000"/>
                <w:sz w:val="17"/>
                <w:szCs w:val="17"/>
              </w:rPr>
              <w:t>Rtdo</w:t>
            </w:r>
            <w:proofErr w:type="spellEnd"/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. por enajenaciones </w:t>
            </w:r>
            <w:proofErr w:type="spellStart"/>
            <w:r>
              <w:rPr>
                <w:rFonts w:ascii="Calibri" w:hAnsi="Calibri" w:cs="Calibri"/>
                <w:color w:val="000000"/>
                <w:sz w:val="17"/>
                <w:szCs w:val="17"/>
              </w:rPr>
              <w:t>instrum</w:t>
            </w:r>
            <w:proofErr w:type="spellEnd"/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financieros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Deterioros y pérdidas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Resultados por enajenaciones y otras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19. Otros ingresos y gastos de carácter financiero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Incorporación al activo de gastos financieros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Ingresos financieros derivados de convenios de </w:t>
            </w:r>
            <w:proofErr w:type="spellStart"/>
            <w:r>
              <w:rPr>
                <w:rFonts w:ascii="Calibri" w:hAnsi="Calibri" w:cs="Calibri"/>
                <w:color w:val="000000"/>
                <w:sz w:val="17"/>
                <w:szCs w:val="17"/>
              </w:rPr>
              <w:t>acreed</w:t>
            </w:r>
            <w:proofErr w:type="spellEnd"/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c) Resto de ingresos y gastos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8E2CF0" w:rsidTr="007A2A5B">
        <w:trPr>
          <w:trHeight w:val="199"/>
        </w:trPr>
        <w:tc>
          <w:tcPr>
            <w:tcW w:w="5954" w:type="dxa"/>
            <w:shd w:val="clear" w:color="auto" w:fill="B2B2B2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A.2) RESULTADO FINANCIERO (14+15+16+17+18+19)</w:t>
            </w:r>
          </w:p>
        </w:tc>
        <w:tc>
          <w:tcPr>
            <w:tcW w:w="1021" w:type="dxa"/>
            <w:shd w:val="clear" w:color="auto" w:fill="B2B2B2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shd w:val="clear" w:color="auto" w:fill="B2B2B2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575.490,15</w:t>
            </w:r>
          </w:p>
        </w:tc>
        <w:tc>
          <w:tcPr>
            <w:tcW w:w="1710" w:type="dxa"/>
            <w:shd w:val="clear" w:color="auto" w:fill="B2B2B2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-136.695,11</w:t>
            </w:r>
          </w:p>
        </w:tc>
      </w:tr>
      <w:tr w:rsidR="008E2CF0" w:rsidTr="007A2A5B">
        <w:trPr>
          <w:trHeight w:val="199"/>
        </w:trPr>
        <w:tc>
          <w:tcPr>
            <w:tcW w:w="5954" w:type="dxa"/>
            <w:shd w:val="clear" w:color="auto" w:fill="B2B2B2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A.3) RESULTADO ANTES DE IMPUESTOS (A.1+A.2)</w:t>
            </w:r>
          </w:p>
        </w:tc>
        <w:tc>
          <w:tcPr>
            <w:tcW w:w="1021" w:type="dxa"/>
            <w:shd w:val="clear" w:color="auto" w:fill="B2B2B2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shd w:val="clear" w:color="auto" w:fill="B2B2B2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7.252.453,91</w:t>
            </w:r>
          </w:p>
        </w:tc>
        <w:tc>
          <w:tcPr>
            <w:tcW w:w="1710" w:type="dxa"/>
            <w:shd w:val="clear" w:color="auto" w:fill="B2B2B2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6.875.951,14</w:t>
            </w: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20. Impuestos sobre beneficios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-1.477.019,77</w:t>
            </w: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-625.120,53</w:t>
            </w:r>
          </w:p>
        </w:tc>
      </w:tr>
      <w:tr w:rsidR="008E2CF0" w:rsidTr="007A2A5B">
        <w:trPr>
          <w:trHeight w:val="199"/>
        </w:trPr>
        <w:tc>
          <w:tcPr>
            <w:tcW w:w="5954" w:type="dxa"/>
            <w:shd w:val="clear" w:color="auto" w:fill="B2B2B2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A.4) RESULTADO DEL EJERCICIO PROCEDENTE DE OP. CONTINUADAS (A.3+20)</w:t>
            </w:r>
          </w:p>
        </w:tc>
        <w:tc>
          <w:tcPr>
            <w:tcW w:w="1021" w:type="dxa"/>
            <w:shd w:val="clear" w:color="auto" w:fill="B2B2B2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shd w:val="clear" w:color="auto" w:fill="B2B2B2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5.775.434,14</w:t>
            </w:r>
          </w:p>
        </w:tc>
        <w:tc>
          <w:tcPr>
            <w:tcW w:w="1710" w:type="dxa"/>
            <w:shd w:val="clear" w:color="auto" w:fill="B2B2B2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6.250.830,61</w:t>
            </w: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B) OPERACIONES INTERRUMPIDAS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E2CF0" w:rsidTr="007A2A5B">
        <w:trPr>
          <w:trHeight w:val="199"/>
        </w:trPr>
        <w:tc>
          <w:tcPr>
            <w:tcW w:w="5954" w:type="dxa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21. </w:t>
            </w:r>
            <w:proofErr w:type="spellStart"/>
            <w:r>
              <w:rPr>
                <w:rFonts w:ascii="Calibri" w:hAnsi="Calibri" w:cs="Calibri"/>
                <w:color w:val="000000"/>
                <w:sz w:val="17"/>
                <w:szCs w:val="17"/>
              </w:rPr>
              <w:t>Rtdo</w:t>
            </w:r>
            <w:proofErr w:type="spellEnd"/>
            <w:r>
              <w:rPr>
                <w:rFonts w:ascii="Calibri" w:hAnsi="Calibri" w:cs="Calibri"/>
                <w:color w:val="000000"/>
                <w:sz w:val="17"/>
                <w:szCs w:val="17"/>
              </w:rPr>
              <w:t>. del ejercicio procedente de operaciones interrumpidas neto de impuestos</w:t>
            </w:r>
          </w:p>
        </w:tc>
        <w:tc>
          <w:tcPr>
            <w:tcW w:w="1021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8E2CF0" w:rsidTr="007A2A5B">
        <w:trPr>
          <w:trHeight w:val="199"/>
        </w:trPr>
        <w:tc>
          <w:tcPr>
            <w:tcW w:w="5954" w:type="dxa"/>
            <w:shd w:val="clear" w:color="auto" w:fill="B2B2B2"/>
          </w:tcPr>
          <w:p w:rsidR="008E2CF0" w:rsidRDefault="008E2CF0" w:rsidP="007A2A5B">
            <w:pPr>
              <w:widowControl w:val="0"/>
              <w:spacing w:before="0" w:after="0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A.5) RESULTADO DEL EJERCICIO (A.4+21)</w:t>
            </w:r>
          </w:p>
        </w:tc>
        <w:tc>
          <w:tcPr>
            <w:tcW w:w="1021" w:type="dxa"/>
            <w:shd w:val="clear" w:color="auto" w:fill="B2B2B2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shd w:val="clear" w:color="auto" w:fill="B2B2B2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5.775.434,14</w:t>
            </w:r>
          </w:p>
        </w:tc>
        <w:tc>
          <w:tcPr>
            <w:tcW w:w="1710" w:type="dxa"/>
            <w:shd w:val="clear" w:color="auto" w:fill="B2B2B2"/>
          </w:tcPr>
          <w:p w:rsidR="008E2CF0" w:rsidRDefault="008E2CF0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6.250.830,61</w:t>
            </w:r>
          </w:p>
        </w:tc>
      </w:tr>
    </w:tbl>
    <w:p w:rsidR="00F76B6D" w:rsidRDefault="00F76B6D">
      <w:bookmarkStart w:id="0" w:name="_GoBack"/>
      <w:bookmarkEnd w:id="0"/>
    </w:p>
    <w:sectPr w:rsidR="00F76B6D" w:rsidSect="008E2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28"/>
    <w:rsid w:val="008E2CF0"/>
    <w:rsid w:val="00BB1F28"/>
    <w:rsid w:val="00F7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CF0"/>
    <w:pPr>
      <w:suppressAutoHyphens/>
      <w:spacing w:before="120" w:after="12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CF0"/>
    <w:pPr>
      <w:suppressAutoHyphens/>
      <w:spacing w:before="120" w:after="12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Delamo del Castillo</dc:creator>
  <cp:lastModifiedBy>Maite Delamo del Castillo</cp:lastModifiedBy>
  <cp:revision>3</cp:revision>
  <cp:lastPrinted>2021-06-10T10:33:00Z</cp:lastPrinted>
  <dcterms:created xsi:type="dcterms:W3CDTF">2021-06-10T10:33:00Z</dcterms:created>
  <dcterms:modified xsi:type="dcterms:W3CDTF">2021-06-10T10:33:00Z</dcterms:modified>
</cp:coreProperties>
</file>