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67D" w:rsidRPr="00C67C91" w:rsidRDefault="0083067D" w:rsidP="00A02770">
      <w:pPr>
        <w:widowControl w:val="0"/>
        <w:autoSpaceDE w:val="0"/>
        <w:autoSpaceDN w:val="0"/>
        <w:adjustRightInd w:val="0"/>
        <w:spacing w:line="240" w:lineRule="auto"/>
        <w:jc w:val="center"/>
        <w:rPr>
          <w:rFonts w:ascii="Arial" w:hAnsi="Arial" w:cs="Arial"/>
          <w:b/>
          <w:bCs/>
          <w:sz w:val="44"/>
        </w:rPr>
      </w:pPr>
      <w:proofErr w:type="spellStart"/>
      <w:r w:rsidRPr="00C67C91">
        <w:rPr>
          <w:rFonts w:ascii="Arial" w:hAnsi="Arial" w:cs="Arial"/>
          <w:b/>
          <w:bCs/>
          <w:sz w:val="44"/>
        </w:rPr>
        <w:t>Canalink</w:t>
      </w:r>
      <w:proofErr w:type="spellEnd"/>
      <w:r w:rsidRPr="00C67C91">
        <w:rPr>
          <w:rFonts w:ascii="Arial" w:hAnsi="Arial" w:cs="Arial"/>
          <w:b/>
          <w:bCs/>
          <w:sz w:val="44"/>
        </w:rPr>
        <w:t xml:space="preserve"> África, S.L.U.</w:t>
      </w:r>
    </w:p>
    <w:p w:rsidR="0083067D" w:rsidRPr="00C67C91" w:rsidRDefault="0083067D" w:rsidP="00A02770">
      <w:pPr>
        <w:widowControl w:val="0"/>
        <w:autoSpaceDE w:val="0"/>
        <w:autoSpaceDN w:val="0"/>
        <w:adjustRightInd w:val="0"/>
        <w:spacing w:line="240" w:lineRule="auto"/>
        <w:rPr>
          <w:rFonts w:ascii="Arial" w:hAnsi="Arial" w:cs="Arial"/>
          <w:b/>
          <w:bCs/>
          <w:sz w:val="44"/>
        </w:rPr>
      </w:pPr>
    </w:p>
    <w:p w:rsidR="0083067D" w:rsidRPr="00C67C91" w:rsidRDefault="0083067D" w:rsidP="00A02770">
      <w:pPr>
        <w:spacing w:line="240" w:lineRule="auto"/>
        <w:jc w:val="center"/>
        <w:rPr>
          <w:rFonts w:ascii="Arial" w:hAnsi="Arial" w:cs="Arial"/>
          <w:sz w:val="20"/>
          <w:szCs w:val="20"/>
        </w:rPr>
      </w:pPr>
      <w:r w:rsidRPr="00C67C91">
        <w:rPr>
          <w:rFonts w:ascii="Arial" w:hAnsi="Arial" w:cs="Arial"/>
          <w:sz w:val="28"/>
          <w:szCs w:val="28"/>
        </w:rPr>
        <w:t>Cuentas Anuales Abreviadas correspondientes al ejercicio 20</w:t>
      </w:r>
      <w:r w:rsidR="003B676E" w:rsidRPr="00C67C91">
        <w:rPr>
          <w:rFonts w:ascii="Arial" w:hAnsi="Arial" w:cs="Arial"/>
          <w:sz w:val="28"/>
          <w:szCs w:val="28"/>
        </w:rPr>
        <w:t>20</w:t>
      </w:r>
      <w:r w:rsidRPr="00C67C91">
        <w:rPr>
          <w:rFonts w:ascii="Arial" w:hAnsi="Arial" w:cs="Arial"/>
          <w:sz w:val="28"/>
          <w:szCs w:val="28"/>
        </w:rPr>
        <w:t xml:space="preserve"> junto al informe de Auditoría de Cuentas Anuales Abreviadas emitido por un Auditor Independiente</w:t>
      </w:r>
    </w:p>
    <w:p w:rsidR="0083067D" w:rsidRPr="00C67C91" w:rsidRDefault="0083067D" w:rsidP="00A02770">
      <w:pPr>
        <w:spacing w:line="240" w:lineRule="auto"/>
        <w:jc w:val="center"/>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269"/>
        <w:gridCol w:w="8359"/>
      </w:tblGrid>
      <w:tr w:rsidR="0083067D" w:rsidRPr="00C67C91" w:rsidTr="00991293">
        <w:tc>
          <w:tcPr>
            <w:tcW w:w="156" w:type="pct"/>
            <w:tcBorders>
              <w:top w:val="single" w:sz="8" w:space="0" w:color="000000"/>
              <w:bottom w:val="single" w:sz="8" w:space="0" w:color="000000"/>
              <w:right w:val="nil"/>
            </w:tcBorders>
            <w:shd w:val="clear" w:color="auto" w:fill="E0E0E0"/>
          </w:tcPr>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tc>
        <w:tc>
          <w:tcPr>
            <w:tcW w:w="4844" w:type="pct"/>
            <w:tcBorders>
              <w:top w:val="single" w:sz="8" w:space="0" w:color="000000"/>
              <w:left w:val="nil"/>
              <w:bottom w:val="single" w:sz="8" w:space="0" w:color="000000"/>
            </w:tcBorders>
            <w:shd w:val="clear" w:color="auto" w:fill="E0E0E0"/>
          </w:tcPr>
          <w:p w:rsidR="0083067D" w:rsidRPr="00C67C91" w:rsidRDefault="0083067D" w:rsidP="00A02770">
            <w:pPr>
              <w:spacing w:line="240" w:lineRule="auto"/>
              <w:ind w:right="90"/>
              <w:rPr>
                <w:rFonts w:ascii="Arial" w:hAnsi="Arial" w:cs="Arial"/>
                <w:sz w:val="20"/>
                <w:szCs w:val="20"/>
              </w:rPr>
            </w:pPr>
          </w:p>
          <w:p w:rsidR="0083067D" w:rsidRPr="00C67C91" w:rsidRDefault="0083067D" w:rsidP="00A02770">
            <w:pPr>
              <w:spacing w:line="240" w:lineRule="auto"/>
              <w:ind w:right="90"/>
              <w:rPr>
                <w:rFonts w:ascii="Arial" w:hAnsi="Arial" w:cs="Arial"/>
                <w:b/>
                <w:bCs/>
              </w:rPr>
            </w:pPr>
            <w:r w:rsidRPr="00C67C91">
              <w:rPr>
                <w:rFonts w:ascii="Arial" w:hAnsi="Arial" w:cs="Arial"/>
                <w:b/>
                <w:bCs/>
              </w:rPr>
              <w:t>INFORME DE AUDITORÍA DE CUENTAS ANUALES ABREVIADAS EMITIDO POR UN AUDITOR INDEPENDIENTE</w:t>
            </w:r>
          </w:p>
          <w:p w:rsidR="0083067D" w:rsidRPr="00C67C91" w:rsidRDefault="0083067D" w:rsidP="00A02770">
            <w:pPr>
              <w:spacing w:line="240" w:lineRule="auto"/>
              <w:ind w:right="90"/>
              <w:rPr>
                <w:rFonts w:ascii="Arial" w:hAnsi="Arial" w:cs="Arial"/>
                <w:b/>
                <w:bCs/>
              </w:rPr>
            </w:pPr>
          </w:p>
          <w:p w:rsidR="0083067D" w:rsidRPr="00C67C91" w:rsidRDefault="0083067D" w:rsidP="00A02770">
            <w:pPr>
              <w:spacing w:line="240" w:lineRule="auto"/>
              <w:ind w:right="90"/>
              <w:rPr>
                <w:rFonts w:ascii="Arial" w:hAnsi="Arial" w:cs="Arial"/>
                <w:b/>
                <w:bCs/>
              </w:rPr>
            </w:pPr>
            <w:r w:rsidRPr="00C67C91">
              <w:rPr>
                <w:rFonts w:ascii="Arial" w:hAnsi="Arial" w:cs="Arial"/>
                <w:b/>
                <w:bCs/>
              </w:rPr>
              <w:t>CUENTAS ANUALES ABREVIADAS CORRESPONDIENTES AL EJERCICIO 20</w:t>
            </w:r>
            <w:r w:rsidR="00B9531C" w:rsidRPr="00C67C91">
              <w:rPr>
                <w:rFonts w:ascii="Arial" w:hAnsi="Arial" w:cs="Arial"/>
                <w:b/>
                <w:bCs/>
              </w:rPr>
              <w:t>20</w:t>
            </w:r>
            <w:r w:rsidRPr="00C67C91">
              <w:rPr>
                <w:rFonts w:ascii="Arial" w:hAnsi="Arial" w:cs="Arial"/>
                <w:b/>
                <w:bCs/>
              </w:rPr>
              <w:t>:</w:t>
            </w:r>
          </w:p>
          <w:p w:rsidR="0083067D" w:rsidRPr="00C67C91" w:rsidRDefault="0083067D" w:rsidP="00A02770">
            <w:pPr>
              <w:spacing w:before="120" w:line="240" w:lineRule="auto"/>
              <w:ind w:left="244" w:right="91" w:hanging="142"/>
              <w:jc w:val="both"/>
              <w:rPr>
                <w:rFonts w:ascii="Arial" w:hAnsi="Arial" w:cs="Arial"/>
              </w:rPr>
            </w:pPr>
            <w:r w:rsidRPr="00C67C91">
              <w:rPr>
                <w:rFonts w:ascii="Arial" w:hAnsi="Arial" w:cs="Arial"/>
              </w:rPr>
              <w:tab/>
              <w:t>Balances Abreviados al 31 de diciembre de 20</w:t>
            </w:r>
            <w:r w:rsidR="003B676E" w:rsidRPr="00C67C91">
              <w:rPr>
                <w:rFonts w:ascii="Arial" w:hAnsi="Arial" w:cs="Arial"/>
              </w:rPr>
              <w:t>20</w:t>
            </w:r>
            <w:r w:rsidRPr="00C67C91">
              <w:rPr>
                <w:rFonts w:ascii="Arial" w:hAnsi="Arial" w:cs="Arial"/>
              </w:rPr>
              <w:t xml:space="preserve"> y de 201</w:t>
            </w:r>
            <w:r w:rsidR="003B676E" w:rsidRPr="00C67C91">
              <w:rPr>
                <w:rFonts w:ascii="Arial" w:hAnsi="Arial" w:cs="Arial"/>
              </w:rPr>
              <w:t>9</w:t>
            </w:r>
          </w:p>
          <w:p w:rsidR="0083067D" w:rsidRPr="00C67C91" w:rsidRDefault="0083067D" w:rsidP="00A02770">
            <w:pPr>
              <w:spacing w:before="120" w:line="240" w:lineRule="auto"/>
              <w:ind w:left="244" w:right="91" w:hanging="142"/>
              <w:jc w:val="both"/>
              <w:rPr>
                <w:rFonts w:ascii="Arial" w:hAnsi="Arial" w:cs="Arial"/>
              </w:rPr>
            </w:pPr>
            <w:r w:rsidRPr="00C67C91">
              <w:rPr>
                <w:rFonts w:ascii="Arial" w:hAnsi="Arial" w:cs="Arial"/>
              </w:rPr>
              <w:tab/>
              <w:t xml:space="preserve">Cuentas de Pérdidas y Ganancias Abreviadas correspondientes a los ejercicios </w:t>
            </w:r>
            <w:r w:rsidR="003B676E" w:rsidRPr="00C67C91">
              <w:rPr>
                <w:rFonts w:ascii="Arial" w:hAnsi="Arial" w:cs="Arial"/>
              </w:rPr>
              <w:t xml:space="preserve">2020 </w:t>
            </w:r>
            <w:r w:rsidRPr="00C67C91">
              <w:rPr>
                <w:rFonts w:ascii="Arial" w:hAnsi="Arial" w:cs="Arial"/>
              </w:rPr>
              <w:t xml:space="preserve">y de </w:t>
            </w:r>
            <w:r w:rsidR="003B676E" w:rsidRPr="00C67C91">
              <w:rPr>
                <w:rFonts w:ascii="Arial" w:hAnsi="Arial" w:cs="Arial"/>
              </w:rPr>
              <w:t>2019</w:t>
            </w:r>
          </w:p>
          <w:p w:rsidR="0083067D" w:rsidRPr="00C67C91" w:rsidRDefault="0083067D" w:rsidP="00A02770">
            <w:pPr>
              <w:spacing w:before="120" w:line="240" w:lineRule="auto"/>
              <w:ind w:left="244" w:right="91" w:hanging="142"/>
              <w:jc w:val="both"/>
              <w:rPr>
                <w:rFonts w:ascii="Arial" w:hAnsi="Arial" w:cs="Arial"/>
              </w:rPr>
            </w:pPr>
            <w:r w:rsidRPr="00C67C91">
              <w:rPr>
                <w:rFonts w:ascii="Arial" w:hAnsi="Arial" w:cs="Arial"/>
              </w:rPr>
              <w:tab/>
              <w:t>Memoria Abreviada del ejercicio 20</w:t>
            </w:r>
            <w:r w:rsidR="003B676E" w:rsidRPr="00C67C91">
              <w:rPr>
                <w:rFonts w:ascii="Arial" w:hAnsi="Arial" w:cs="Arial"/>
              </w:rPr>
              <w:t>20</w:t>
            </w:r>
          </w:p>
          <w:p w:rsidR="0083067D" w:rsidRPr="00C67C91" w:rsidRDefault="0083067D" w:rsidP="00A02770">
            <w:pPr>
              <w:spacing w:line="240" w:lineRule="auto"/>
              <w:ind w:right="90"/>
              <w:rPr>
                <w:rFonts w:ascii="Arial" w:hAnsi="Arial" w:cs="Arial"/>
                <w:sz w:val="20"/>
                <w:szCs w:val="20"/>
              </w:rPr>
            </w:pPr>
          </w:p>
        </w:tc>
      </w:tr>
    </w:tbl>
    <w:p w:rsidR="0083067D" w:rsidRPr="00C67C91" w:rsidRDefault="0083067D" w:rsidP="00A02770">
      <w:pPr>
        <w:widowControl w:val="0"/>
        <w:autoSpaceDE w:val="0"/>
        <w:autoSpaceDN w:val="0"/>
        <w:adjustRightInd w:val="0"/>
        <w:spacing w:line="240" w:lineRule="auto"/>
        <w:jc w:val="center"/>
        <w:rPr>
          <w:rFonts w:ascii="Arial" w:hAnsi="Arial" w:cs="Arial"/>
          <w:b/>
          <w:bCs/>
        </w:rPr>
      </w:pPr>
    </w:p>
    <w:p w:rsidR="0083067D" w:rsidRPr="00C67C91" w:rsidRDefault="0083067D" w:rsidP="00A02770">
      <w:pPr>
        <w:spacing w:line="240" w:lineRule="auto"/>
        <w:rPr>
          <w:rFonts w:ascii="Arial" w:hAnsi="Arial" w:cs="Arial"/>
          <w:b/>
          <w:bCs/>
          <w:sz w:val="20"/>
          <w:szCs w:val="20"/>
        </w:rPr>
        <w:sectPr w:rsidR="0083067D" w:rsidRPr="00C67C91" w:rsidSect="00D63117">
          <w:headerReference w:type="default" r:id="rId8"/>
          <w:type w:val="continuous"/>
          <w:pgSz w:w="11952" w:h="16848"/>
          <w:pgMar w:top="1701" w:right="1701" w:bottom="1701" w:left="1701" w:header="720" w:footer="720" w:gutter="0"/>
          <w:cols w:space="720"/>
          <w:noEndnote/>
          <w:titlePg/>
          <w:docGrid w:linePitch="299"/>
        </w:sect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628"/>
      </w:tblGrid>
      <w:tr w:rsidR="0083067D" w:rsidRPr="00C67C91" w:rsidTr="00991293">
        <w:tc>
          <w:tcPr>
            <w:tcW w:w="5000" w:type="pct"/>
            <w:tcBorders>
              <w:top w:val="single" w:sz="8" w:space="0" w:color="000000"/>
              <w:bottom w:val="single" w:sz="8" w:space="0" w:color="000000"/>
            </w:tcBorders>
            <w:shd w:val="clear" w:color="auto" w:fill="E0E0E0"/>
          </w:tcPr>
          <w:p w:rsidR="0083067D" w:rsidRPr="00C67C91" w:rsidRDefault="0083067D" w:rsidP="00A02770">
            <w:pPr>
              <w:spacing w:line="240" w:lineRule="auto"/>
              <w:ind w:left="239"/>
              <w:jc w:val="center"/>
              <w:rPr>
                <w:rFonts w:ascii="Arial" w:hAnsi="Arial" w:cs="Arial"/>
                <w:b/>
                <w:bCs/>
              </w:rPr>
            </w:pPr>
          </w:p>
          <w:p w:rsidR="0083067D" w:rsidRPr="00C67C91" w:rsidRDefault="0083067D" w:rsidP="00A02770">
            <w:pPr>
              <w:spacing w:line="240" w:lineRule="auto"/>
              <w:ind w:left="239"/>
              <w:jc w:val="center"/>
              <w:rPr>
                <w:rFonts w:ascii="Arial" w:hAnsi="Arial" w:cs="Arial"/>
                <w:b/>
                <w:bCs/>
              </w:rPr>
            </w:pPr>
            <w:proofErr w:type="spellStart"/>
            <w:r w:rsidRPr="00C67C91">
              <w:rPr>
                <w:rFonts w:ascii="Arial" w:hAnsi="Arial" w:cs="Arial"/>
                <w:b/>
                <w:bCs/>
              </w:rPr>
              <w:t>Canalink</w:t>
            </w:r>
            <w:proofErr w:type="spellEnd"/>
            <w:r w:rsidRPr="00C67C91">
              <w:rPr>
                <w:rFonts w:ascii="Arial" w:hAnsi="Arial" w:cs="Arial"/>
                <w:b/>
                <w:bCs/>
              </w:rPr>
              <w:t xml:space="preserve"> África, S.L.U.</w:t>
            </w:r>
          </w:p>
          <w:p w:rsidR="0083067D" w:rsidRPr="00C67C91" w:rsidRDefault="0083067D" w:rsidP="00A02770">
            <w:pPr>
              <w:spacing w:line="240" w:lineRule="auto"/>
              <w:ind w:left="239"/>
              <w:jc w:val="center"/>
              <w:rPr>
                <w:rFonts w:ascii="Arial" w:hAnsi="Arial" w:cs="Arial"/>
                <w:b/>
                <w:bCs/>
              </w:rPr>
            </w:pPr>
          </w:p>
          <w:p w:rsidR="0083067D" w:rsidRPr="00C67C91" w:rsidRDefault="0083067D" w:rsidP="00A02770">
            <w:pPr>
              <w:spacing w:before="120" w:line="240" w:lineRule="auto"/>
              <w:ind w:left="238" w:right="91"/>
              <w:jc w:val="center"/>
              <w:rPr>
                <w:rFonts w:ascii="Arial" w:hAnsi="Arial" w:cs="Arial"/>
                <w:b/>
                <w:bCs/>
              </w:rPr>
            </w:pPr>
            <w:r w:rsidRPr="00C67C91">
              <w:rPr>
                <w:rFonts w:ascii="Arial" w:hAnsi="Arial" w:cs="Arial"/>
                <w:b/>
                <w:bCs/>
              </w:rPr>
              <w:t xml:space="preserve">INFORME DE AUDITORÍA DE CUENTAS ANUALES ABREVIADAS EMITIDO </w:t>
            </w:r>
          </w:p>
          <w:p w:rsidR="0083067D" w:rsidRPr="00C67C91" w:rsidRDefault="0083067D" w:rsidP="00A02770">
            <w:pPr>
              <w:spacing w:before="120" w:line="240" w:lineRule="auto"/>
              <w:ind w:left="238" w:right="91"/>
              <w:jc w:val="center"/>
              <w:rPr>
                <w:rFonts w:ascii="Arial" w:hAnsi="Arial" w:cs="Arial"/>
                <w:b/>
                <w:bCs/>
              </w:rPr>
            </w:pPr>
            <w:r w:rsidRPr="00C67C91">
              <w:rPr>
                <w:rFonts w:ascii="Arial" w:hAnsi="Arial" w:cs="Arial"/>
                <w:b/>
                <w:bCs/>
              </w:rPr>
              <w:t>POR UN AUDITOR INDEPENDIENTE</w:t>
            </w:r>
          </w:p>
          <w:p w:rsidR="0083067D" w:rsidRPr="00C67C91" w:rsidRDefault="0083067D" w:rsidP="00A02770">
            <w:pPr>
              <w:spacing w:line="240" w:lineRule="auto"/>
              <w:ind w:left="239"/>
              <w:jc w:val="center"/>
              <w:rPr>
                <w:rFonts w:ascii="Arial" w:hAnsi="Arial" w:cs="Arial"/>
                <w:b/>
                <w:bCs/>
              </w:rPr>
            </w:pPr>
          </w:p>
        </w:tc>
      </w:tr>
    </w:tbl>
    <w:p w:rsidR="0083067D" w:rsidRPr="00C67C91" w:rsidRDefault="0083067D" w:rsidP="00A02770">
      <w:pPr>
        <w:spacing w:line="240" w:lineRule="auto"/>
        <w:rPr>
          <w:rFonts w:ascii="Arial" w:hAnsi="Arial" w:cs="Arial"/>
          <w:b/>
          <w:bCs/>
          <w:sz w:val="20"/>
          <w:szCs w:val="20"/>
        </w:rPr>
        <w:sectPr w:rsidR="0083067D" w:rsidRPr="00C67C91" w:rsidSect="00E34349">
          <w:headerReference w:type="default" r:id="rId9"/>
          <w:pgSz w:w="11952" w:h="16848"/>
          <w:pgMar w:top="1701" w:right="1701" w:bottom="1701" w:left="1701" w:header="720" w:footer="720" w:gutter="0"/>
          <w:cols w:space="720"/>
          <w:noEndnote/>
        </w:sect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both"/>
        <w:rPr>
          <w:rFonts w:ascii="Arial" w:hAnsi="Arial" w:cs="Arial"/>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583"/>
      </w:tblGrid>
      <w:tr w:rsidR="0083067D" w:rsidRPr="00C67C91" w:rsidTr="00991293">
        <w:tc>
          <w:tcPr>
            <w:tcW w:w="5000" w:type="pct"/>
            <w:tcBorders>
              <w:top w:val="single" w:sz="8" w:space="0" w:color="000000"/>
              <w:bottom w:val="single" w:sz="8" w:space="0" w:color="000000"/>
            </w:tcBorders>
            <w:shd w:val="clear" w:color="auto" w:fill="E0E0E0"/>
          </w:tcPr>
          <w:p w:rsidR="0083067D" w:rsidRPr="00C67C91" w:rsidRDefault="0083067D" w:rsidP="00A02770">
            <w:pPr>
              <w:spacing w:line="240" w:lineRule="auto"/>
              <w:jc w:val="center"/>
              <w:rPr>
                <w:rFonts w:ascii="Arial" w:hAnsi="Arial" w:cs="Arial"/>
                <w:sz w:val="20"/>
                <w:szCs w:val="20"/>
              </w:rPr>
            </w:pPr>
          </w:p>
          <w:p w:rsidR="0083067D" w:rsidRPr="00C67C91" w:rsidRDefault="0083067D" w:rsidP="00A02770">
            <w:pPr>
              <w:spacing w:line="240" w:lineRule="auto"/>
              <w:jc w:val="center"/>
              <w:rPr>
                <w:rFonts w:ascii="Arial" w:hAnsi="Arial" w:cs="Arial"/>
                <w:sz w:val="28"/>
              </w:rPr>
            </w:pPr>
            <w:proofErr w:type="spellStart"/>
            <w:r w:rsidRPr="00C67C91">
              <w:rPr>
                <w:rFonts w:ascii="Arial" w:hAnsi="Arial" w:cs="Arial"/>
                <w:b/>
                <w:bCs/>
                <w:sz w:val="28"/>
                <w:u w:val="single"/>
              </w:rPr>
              <w:t>Canalink</w:t>
            </w:r>
            <w:proofErr w:type="spellEnd"/>
            <w:r w:rsidRPr="00C67C91">
              <w:rPr>
                <w:rFonts w:ascii="Arial" w:hAnsi="Arial" w:cs="Arial"/>
                <w:b/>
                <w:bCs/>
                <w:sz w:val="28"/>
                <w:u w:val="single"/>
              </w:rPr>
              <w:t xml:space="preserve"> África, S.L.U.</w:t>
            </w:r>
          </w:p>
          <w:p w:rsidR="0083067D" w:rsidRPr="00C67C91" w:rsidRDefault="0083067D" w:rsidP="00A02770">
            <w:pPr>
              <w:spacing w:line="240" w:lineRule="auto"/>
              <w:jc w:val="center"/>
              <w:rPr>
                <w:rFonts w:ascii="Arial" w:hAnsi="Arial" w:cs="Arial"/>
                <w:sz w:val="28"/>
              </w:rPr>
            </w:pPr>
          </w:p>
          <w:p w:rsidR="00203EFC" w:rsidRDefault="0083067D" w:rsidP="00A02770">
            <w:pPr>
              <w:spacing w:line="240" w:lineRule="auto"/>
              <w:jc w:val="center"/>
              <w:rPr>
                <w:rFonts w:ascii="Arial" w:hAnsi="Arial" w:cs="Arial"/>
                <w:b/>
                <w:bCs/>
                <w:sz w:val="24"/>
                <w:szCs w:val="24"/>
                <w:u w:val="single"/>
              </w:rPr>
            </w:pPr>
            <w:r w:rsidRPr="00203EFC">
              <w:rPr>
                <w:rFonts w:ascii="Arial" w:hAnsi="Arial" w:cs="Arial"/>
                <w:b/>
                <w:bCs/>
                <w:sz w:val="24"/>
                <w:szCs w:val="24"/>
                <w:u w:val="single"/>
              </w:rPr>
              <w:t>CUENTAS ANUALES ABREVIADAS CORRESPONDIENTES</w:t>
            </w:r>
          </w:p>
          <w:p w:rsidR="0083067D" w:rsidRPr="00203EFC" w:rsidRDefault="0083067D" w:rsidP="00A02770">
            <w:pPr>
              <w:spacing w:line="240" w:lineRule="auto"/>
              <w:jc w:val="center"/>
              <w:rPr>
                <w:rFonts w:ascii="Arial" w:hAnsi="Arial" w:cs="Arial"/>
                <w:b/>
                <w:bCs/>
                <w:sz w:val="24"/>
                <w:szCs w:val="24"/>
                <w:u w:val="single"/>
              </w:rPr>
            </w:pPr>
            <w:r w:rsidRPr="00203EFC">
              <w:rPr>
                <w:rFonts w:ascii="Arial" w:hAnsi="Arial" w:cs="Arial"/>
                <w:b/>
                <w:bCs/>
                <w:sz w:val="24"/>
                <w:szCs w:val="24"/>
                <w:u w:val="single"/>
              </w:rPr>
              <w:t>AL EJERCICIO 20</w:t>
            </w:r>
            <w:r w:rsidR="003B676E" w:rsidRPr="00203EFC">
              <w:rPr>
                <w:rFonts w:ascii="Arial" w:hAnsi="Arial" w:cs="Arial"/>
                <w:b/>
                <w:bCs/>
                <w:sz w:val="24"/>
                <w:szCs w:val="24"/>
                <w:u w:val="single"/>
              </w:rPr>
              <w:t>20</w:t>
            </w:r>
          </w:p>
          <w:p w:rsidR="0083067D" w:rsidRPr="00C67C91" w:rsidRDefault="0083067D" w:rsidP="00A02770">
            <w:pPr>
              <w:spacing w:line="240" w:lineRule="auto"/>
              <w:jc w:val="center"/>
              <w:rPr>
                <w:rFonts w:ascii="Arial" w:hAnsi="Arial" w:cs="Arial"/>
                <w:sz w:val="20"/>
                <w:szCs w:val="20"/>
              </w:rPr>
            </w:pPr>
          </w:p>
        </w:tc>
      </w:tr>
    </w:tbl>
    <w:p w:rsidR="0083067D" w:rsidRPr="00C67C91" w:rsidRDefault="0083067D" w:rsidP="00A02770">
      <w:pPr>
        <w:spacing w:line="240" w:lineRule="auto"/>
        <w:jc w:val="both"/>
        <w:rPr>
          <w:rFonts w:ascii="Arial" w:hAnsi="Arial" w:cs="Arial"/>
          <w:sz w:val="20"/>
          <w:szCs w:val="20"/>
        </w:rPr>
      </w:pPr>
    </w:p>
    <w:p w:rsidR="0083067D" w:rsidRPr="00C67C91" w:rsidRDefault="0083067D" w:rsidP="00A02770">
      <w:pPr>
        <w:spacing w:line="240" w:lineRule="auto"/>
        <w:jc w:val="center"/>
        <w:rPr>
          <w:rFonts w:ascii="Arial" w:hAnsi="Arial" w:cs="Arial"/>
          <w:sz w:val="20"/>
          <w:szCs w:val="20"/>
        </w:rPr>
      </w:pPr>
    </w:p>
    <w:p w:rsidR="0083067D" w:rsidRPr="00C67C91" w:rsidRDefault="0083067D" w:rsidP="00A02770">
      <w:pPr>
        <w:widowControl w:val="0"/>
        <w:autoSpaceDE w:val="0"/>
        <w:autoSpaceDN w:val="0"/>
        <w:adjustRightInd w:val="0"/>
        <w:spacing w:line="240" w:lineRule="auto"/>
        <w:jc w:val="center"/>
        <w:rPr>
          <w:rFonts w:ascii="Arial" w:hAnsi="Arial" w:cs="Arial"/>
          <w:b/>
          <w:bCs/>
        </w:rPr>
      </w:pPr>
    </w:p>
    <w:p w:rsidR="00D63117" w:rsidRPr="00C67C91" w:rsidRDefault="00D63117" w:rsidP="00A02770">
      <w:pPr>
        <w:widowControl w:val="0"/>
        <w:autoSpaceDE w:val="0"/>
        <w:autoSpaceDN w:val="0"/>
        <w:adjustRightInd w:val="0"/>
        <w:spacing w:line="240" w:lineRule="auto"/>
        <w:jc w:val="center"/>
        <w:rPr>
          <w:rFonts w:ascii="Arial" w:hAnsi="Arial" w:cs="Arial"/>
          <w:b/>
          <w:bCs/>
        </w:rPr>
        <w:sectPr w:rsidR="00D63117" w:rsidRPr="00C67C91" w:rsidSect="0083067D">
          <w:headerReference w:type="default" r:id="rId10"/>
          <w:footerReference w:type="default" r:id="rId11"/>
          <w:pgSz w:w="11907" w:h="16839"/>
          <w:pgMar w:top="1701" w:right="1701" w:bottom="1701" w:left="1701" w:header="850" w:footer="720" w:gutter="0"/>
          <w:cols w:space="720"/>
          <w:noEndnote/>
          <w:docGrid w:linePitch="299"/>
        </w:sectPr>
      </w:pPr>
    </w:p>
    <w:p w:rsidR="0083067D" w:rsidRPr="00C67C91" w:rsidRDefault="0083067D" w:rsidP="00A02770">
      <w:pPr>
        <w:spacing w:before="120" w:after="120" w:line="240" w:lineRule="auto"/>
        <w:jc w:val="center"/>
        <w:rPr>
          <w:rFonts w:ascii="Arial" w:hAnsi="Arial" w:cs="Arial"/>
          <w:b/>
          <w:sz w:val="20"/>
          <w:szCs w:val="20"/>
        </w:rPr>
      </w:pPr>
      <w:proofErr w:type="spellStart"/>
      <w:r w:rsidRPr="00C67C91">
        <w:rPr>
          <w:rFonts w:ascii="Arial" w:hAnsi="Arial" w:cs="Arial"/>
          <w:b/>
          <w:sz w:val="20"/>
          <w:szCs w:val="20"/>
        </w:rPr>
        <w:lastRenderedPageBreak/>
        <w:t>Canalink</w:t>
      </w:r>
      <w:proofErr w:type="spellEnd"/>
      <w:r w:rsidRPr="00C67C91">
        <w:rPr>
          <w:rFonts w:ascii="Arial" w:hAnsi="Arial" w:cs="Arial"/>
          <w:b/>
          <w:sz w:val="20"/>
          <w:szCs w:val="20"/>
        </w:rPr>
        <w:t xml:space="preserve"> </w:t>
      </w:r>
      <w:r w:rsidR="00B9531C" w:rsidRPr="00C67C91">
        <w:rPr>
          <w:rFonts w:ascii="Arial" w:hAnsi="Arial" w:cs="Arial"/>
          <w:b/>
          <w:sz w:val="20"/>
          <w:szCs w:val="20"/>
        </w:rPr>
        <w:t>África</w:t>
      </w:r>
      <w:r w:rsidRPr="00C67C91">
        <w:rPr>
          <w:rFonts w:ascii="Arial" w:hAnsi="Arial" w:cs="Arial"/>
          <w:b/>
          <w:sz w:val="20"/>
          <w:szCs w:val="20"/>
        </w:rPr>
        <w:t>, S.L.U.</w:t>
      </w:r>
    </w:p>
    <w:p w:rsidR="0083067D" w:rsidRPr="00C67C91" w:rsidRDefault="0083067D" w:rsidP="00A02770">
      <w:pPr>
        <w:spacing w:before="120" w:after="120" w:line="240" w:lineRule="auto"/>
        <w:jc w:val="center"/>
        <w:rPr>
          <w:rFonts w:ascii="Arial" w:hAnsi="Arial" w:cs="Arial"/>
          <w:b/>
          <w:bCs/>
          <w:sz w:val="20"/>
          <w:szCs w:val="20"/>
          <w:u w:val="single"/>
        </w:rPr>
      </w:pPr>
      <w:r w:rsidRPr="00C67C91">
        <w:rPr>
          <w:rFonts w:ascii="Arial" w:hAnsi="Arial" w:cs="Arial"/>
          <w:b/>
          <w:bCs/>
          <w:sz w:val="20"/>
          <w:szCs w:val="20"/>
          <w:u w:val="single"/>
        </w:rPr>
        <w:t>BALANCES ABREVIADOS AL 31 DE DICIEMBRE DE 20</w:t>
      </w:r>
      <w:r w:rsidR="00D6164D" w:rsidRPr="00C67C91">
        <w:rPr>
          <w:rFonts w:ascii="Arial" w:hAnsi="Arial" w:cs="Arial"/>
          <w:b/>
          <w:bCs/>
          <w:sz w:val="20"/>
          <w:szCs w:val="20"/>
          <w:u w:val="single"/>
        </w:rPr>
        <w:t>20</w:t>
      </w:r>
      <w:r w:rsidRPr="00C67C91">
        <w:rPr>
          <w:rFonts w:ascii="Arial" w:hAnsi="Arial" w:cs="Arial"/>
          <w:b/>
          <w:bCs/>
          <w:sz w:val="20"/>
          <w:szCs w:val="20"/>
          <w:u w:val="single"/>
        </w:rPr>
        <w:t xml:space="preserve"> Y DE 201</w:t>
      </w:r>
      <w:r w:rsidR="00D6164D" w:rsidRPr="00C67C91">
        <w:rPr>
          <w:rFonts w:ascii="Arial" w:hAnsi="Arial" w:cs="Arial"/>
          <w:b/>
          <w:bCs/>
          <w:sz w:val="20"/>
          <w:szCs w:val="20"/>
          <w:u w:val="single"/>
        </w:rPr>
        <w:t>9</w:t>
      </w:r>
    </w:p>
    <w:p w:rsidR="0083067D" w:rsidRPr="00C67C91" w:rsidRDefault="0083067D" w:rsidP="00A02770">
      <w:pPr>
        <w:spacing w:before="120" w:after="120" w:line="240" w:lineRule="auto"/>
        <w:jc w:val="center"/>
        <w:rPr>
          <w:rFonts w:ascii="Arial" w:hAnsi="Arial" w:cs="Arial"/>
          <w:sz w:val="20"/>
          <w:szCs w:val="20"/>
        </w:rPr>
      </w:pPr>
      <w:r w:rsidRPr="00C67C91">
        <w:rPr>
          <w:rFonts w:ascii="Arial" w:hAnsi="Arial" w:cs="Arial"/>
          <w:sz w:val="20"/>
          <w:szCs w:val="20"/>
        </w:rPr>
        <w:t>(Expresados en euros)</w:t>
      </w:r>
    </w:p>
    <w:tbl>
      <w:tblPr>
        <w:tblW w:w="5000" w:type="pct"/>
        <w:tblCellMar>
          <w:left w:w="70" w:type="dxa"/>
          <w:right w:w="70" w:type="dxa"/>
        </w:tblCellMar>
        <w:tblLook w:val="04A0"/>
      </w:tblPr>
      <w:tblGrid>
        <w:gridCol w:w="4748"/>
        <w:gridCol w:w="1134"/>
        <w:gridCol w:w="1418"/>
        <w:gridCol w:w="1345"/>
      </w:tblGrid>
      <w:tr w:rsidR="00855841" w:rsidRPr="00C67C91" w:rsidTr="00203EFC">
        <w:trPr>
          <w:trHeight w:val="454"/>
        </w:trPr>
        <w:tc>
          <w:tcPr>
            <w:tcW w:w="2746" w:type="pct"/>
            <w:tcBorders>
              <w:top w:val="single" w:sz="4" w:space="0" w:color="auto"/>
              <w:left w:val="nil"/>
              <w:bottom w:val="single" w:sz="4" w:space="0" w:color="auto"/>
              <w:right w:val="nil"/>
            </w:tcBorders>
            <w:shd w:val="clear" w:color="000000" w:fill="D9D9D9"/>
            <w:noWrap/>
            <w:vAlign w:val="bottom"/>
            <w:hideMark/>
          </w:tcPr>
          <w:p w:rsidR="00855841" w:rsidRPr="00C67C91" w:rsidRDefault="00855841"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ACTIVO</w:t>
            </w:r>
          </w:p>
        </w:tc>
        <w:tc>
          <w:tcPr>
            <w:tcW w:w="656" w:type="pct"/>
            <w:tcBorders>
              <w:top w:val="single" w:sz="4" w:space="0" w:color="auto"/>
              <w:left w:val="nil"/>
              <w:bottom w:val="single" w:sz="4" w:space="0" w:color="auto"/>
              <w:right w:val="nil"/>
            </w:tcBorders>
            <w:shd w:val="clear" w:color="000000" w:fill="D9D9D9"/>
            <w:vAlign w:val="bottom"/>
            <w:hideMark/>
          </w:tcPr>
          <w:p w:rsidR="00855841" w:rsidRPr="00C67C91" w:rsidRDefault="004F79FD"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Notas</w:t>
            </w:r>
            <w:r w:rsidR="00B9531C" w:rsidRPr="00C67C91">
              <w:rPr>
                <w:rFonts w:ascii="Arial" w:hAnsi="Arial" w:cs="Arial"/>
                <w:b/>
                <w:bCs/>
                <w:color w:val="000000"/>
                <w:sz w:val="18"/>
                <w:szCs w:val="18"/>
              </w:rPr>
              <w:t xml:space="preserve"> de</w:t>
            </w:r>
            <w:r w:rsidRPr="00C67C91">
              <w:rPr>
                <w:rFonts w:ascii="Arial" w:hAnsi="Arial" w:cs="Arial"/>
                <w:b/>
                <w:bCs/>
                <w:color w:val="000000"/>
                <w:sz w:val="18"/>
                <w:szCs w:val="18"/>
              </w:rPr>
              <w:t xml:space="preserve"> Memoria</w:t>
            </w:r>
          </w:p>
        </w:tc>
        <w:tc>
          <w:tcPr>
            <w:tcW w:w="820" w:type="pct"/>
            <w:tcBorders>
              <w:top w:val="single" w:sz="4" w:space="0" w:color="auto"/>
              <w:left w:val="nil"/>
              <w:bottom w:val="single" w:sz="4" w:space="0" w:color="auto"/>
              <w:right w:val="nil"/>
            </w:tcBorders>
            <w:shd w:val="clear" w:color="000000" w:fill="D9D9D9"/>
            <w:vAlign w:val="bottom"/>
            <w:hideMark/>
          </w:tcPr>
          <w:p w:rsidR="00855841" w:rsidRPr="00C67C91" w:rsidRDefault="00855841"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31/12/2020</w:t>
            </w:r>
          </w:p>
        </w:tc>
        <w:tc>
          <w:tcPr>
            <w:tcW w:w="778" w:type="pct"/>
            <w:tcBorders>
              <w:top w:val="single" w:sz="4" w:space="0" w:color="auto"/>
              <w:left w:val="nil"/>
              <w:bottom w:val="single" w:sz="4" w:space="0" w:color="auto"/>
              <w:right w:val="nil"/>
            </w:tcBorders>
            <w:shd w:val="clear" w:color="000000" w:fill="D9D9D9"/>
            <w:noWrap/>
            <w:vAlign w:val="bottom"/>
            <w:hideMark/>
          </w:tcPr>
          <w:p w:rsidR="00855841" w:rsidRPr="00C67C91" w:rsidRDefault="00855841"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31/12/2019</w:t>
            </w:r>
          </w:p>
        </w:tc>
      </w:tr>
      <w:tr w:rsidR="00E72FA8" w:rsidRPr="00203EFC" w:rsidTr="00203EFC">
        <w:trPr>
          <w:trHeight w:val="113"/>
        </w:trPr>
        <w:tc>
          <w:tcPr>
            <w:tcW w:w="2746" w:type="pct"/>
            <w:tcBorders>
              <w:top w:val="nil"/>
              <w:left w:val="nil"/>
              <w:bottom w:val="single" w:sz="4" w:space="0" w:color="auto"/>
              <w:right w:val="nil"/>
            </w:tcBorders>
            <w:vAlign w:val="center"/>
          </w:tcPr>
          <w:p w:rsidR="00E72FA8" w:rsidRPr="00203EFC" w:rsidRDefault="00E72FA8" w:rsidP="00A02770">
            <w:pPr>
              <w:spacing w:after="0" w:line="240" w:lineRule="auto"/>
              <w:rPr>
                <w:rFonts w:ascii="Arial" w:hAnsi="Arial" w:cs="Arial"/>
                <w:b/>
                <w:bCs/>
                <w:color w:val="000000"/>
                <w:sz w:val="10"/>
                <w:szCs w:val="10"/>
              </w:rPr>
            </w:pPr>
          </w:p>
        </w:tc>
        <w:tc>
          <w:tcPr>
            <w:tcW w:w="656" w:type="pct"/>
            <w:tcBorders>
              <w:top w:val="nil"/>
              <w:left w:val="nil"/>
              <w:bottom w:val="single" w:sz="4" w:space="0" w:color="auto"/>
              <w:right w:val="nil"/>
            </w:tcBorders>
            <w:vAlign w:val="center"/>
          </w:tcPr>
          <w:p w:rsidR="00E72FA8" w:rsidRPr="00203EFC" w:rsidRDefault="00E72FA8" w:rsidP="00A02770">
            <w:pPr>
              <w:spacing w:after="0" w:line="240" w:lineRule="auto"/>
              <w:jc w:val="center"/>
              <w:rPr>
                <w:rFonts w:ascii="Arial" w:hAnsi="Arial" w:cs="Arial"/>
                <w:sz w:val="10"/>
                <w:szCs w:val="10"/>
              </w:rPr>
            </w:pPr>
          </w:p>
        </w:tc>
        <w:tc>
          <w:tcPr>
            <w:tcW w:w="820" w:type="pct"/>
            <w:tcBorders>
              <w:top w:val="nil"/>
              <w:left w:val="nil"/>
              <w:bottom w:val="single" w:sz="4" w:space="0" w:color="auto"/>
              <w:right w:val="nil"/>
            </w:tcBorders>
            <w:vAlign w:val="center"/>
          </w:tcPr>
          <w:p w:rsidR="00E72FA8" w:rsidRPr="00203EFC" w:rsidRDefault="00E72FA8" w:rsidP="00A02770">
            <w:pPr>
              <w:spacing w:after="0" w:line="240" w:lineRule="auto"/>
              <w:jc w:val="right"/>
              <w:rPr>
                <w:rFonts w:ascii="Arial" w:hAnsi="Arial" w:cs="Arial"/>
                <w:b/>
                <w:bCs/>
                <w:color w:val="000000"/>
                <w:sz w:val="10"/>
                <w:szCs w:val="10"/>
              </w:rPr>
            </w:pPr>
          </w:p>
        </w:tc>
        <w:tc>
          <w:tcPr>
            <w:tcW w:w="778" w:type="pct"/>
            <w:tcBorders>
              <w:top w:val="nil"/>
              <w:left w:val="nil"/>
              <w:bottom w:val="single" w:sz="4" w:space="0" w:color="auto"/>
              <w:right w:val="nil"/>
            </w:tcBorders>
            <w:vAlign w:val="center"/>
          </w:tcPr>
          <w:p w:rsidR="00E72FA8" w:rsidRPr="00203EFC" w:rsidRDefault="00E72FA8" w:rsidP="00A02770">
            <w:pPr>
              <w:spacing w:after="0" w:line="240" w:lineRule="auto"/>
              <w:jc w:val="right"/>
              <w:rPr>
                <w:rFonts w:ascii="Arial" w:hAnsi="Arial" w:cs="Arial"/>
                <w:b/>
                <w:bCs/>
                <w:color w:val="000000"/>
                <w:sz w:val="10"/>
                <w:szCs w:val="10"/>
              </w:rPr>
            </w:pPr>
          </w:p>
        </w:tc>
      </w:tr>
      <w:tr w:rsidR="00855841" w:rsidRPr="00C67C91" w:rsidTr="00203EFC">
        <w:trPr>
          <w:trHeight w:val="340"/>
        </w:trPr>
        <w:tc>
          <w:tcPr>
            <w:tcW w:w="2746" w:type="pct"/>
            <w:tcBorders>
              <w:top w:val="single" w:sz="4" w:space="0" w:color="auto"/>
              <w:left w:val="nil"/>
              <w:bottom w:val="single" w:sz="4" w:space="0" w:color="auto"/>
              <w:right w:val="nil"/>
            </w:tcBorders>
            <w:shd w:val="clear" w:color="000000" w:fill="F2F2F2"/>
            <w:vAlign w:val="center"/>
            <w:hideMark/>
          </w:tcPr>
          <w:p w:rsidR="00855841" w:rsidRPr="00C67C91" w:rsidRDefault="00855841"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A) ACTIVO NO CORRIENTE </w:t>
            </w:r>
          </w:p>
        </w:tc>
        <w:tc>
          <w:tcPr>
            <w:tcW w:w="656" w:type="pct"/>
            <w:tcBorders>
              <w:top w:val="single" w:sz="4" w:space="0" w:color="auto"/>
              <w:left w:val="nil"/>
              <w:bottom w:val="single" w:sz="4" w:space="0" w:color="auto"/>
              <w:right w:val="nil"/>
            </w:tcBorders>
            <w:shd w:val="clear" w:color="000000" w:fill="F2F2F2"/>
            <w:vAlign w:val="center"/>
            <w:hideMark/>
          </w:tcPr>
          <w:p w:rsidR="00855841" w:rsidRPr="00C67C91" w:rsidRDefault="00855841" w:rsidP="00A02770">
            <w:pPr>
              <w:spacing w:after="0" w:line="240" w:lineRule="auto"/>
              <w:jc w:val="center"/>
              <w:rPr>
                <w:rFonts w:ascii="Arial" w:hAnsi="Arial" w:cs="Arial"/>
                <w:sz w:val="18"/>
                <w:szCs w:val="18"/>
              </w:rPr>
            </w:pPr>
          </w:p>
        </w:tc>
        <w:tc>
          <w:tcPr>
            <w:tcW w:w="820" w:type="pct"/>
            <w:tcBorders>
              <w:top w:val="single" w:sz="4" w:space="0" w:color="auto"/>
              <w:left w:val="nil"/>
              <w:bottom w:val="single" w:sz="4" w:space="0" w:color="auto"/>
              <w:right w:val="nil"/>
            </w:tcBorders>
            <w:shd w:val="clear" w:color="000000" w:fill="F2F2F2"/>
            <w:vAlign w:val="center"/>
            <w:hideMark/>
          </w:tcPr>
          <w:p w:rsidR="00855841" w:rsidRPr="00C67C91" w:rsidRDefault="00855841"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21.064.548,55</w:t>
            </w:r>
          </w:p>
        </w:tc>
        <w:tc>
          <w:tcPr>
            <w:tcW w:w="778" w:type="pct"/>
            <w:tcBorders>
              <w:top w:val="single" w:sz="4" w:space="0" w:color="auto"/>
              <w:left w:val="nil"/>
              <w:bottom w:val="single" w:sz="4" w:space="0" w:color="auto"/>
              <w:right w:val="nil"/>
            </w:tcBorders>
            <w:shd w:val="clear" w:color="000000" w:fill="F2F2F2"/>
            <w:vAlign w:val="center"/>
            <w:hideMark/>
          </w:tcPr>
          <w:p w:rsidR="00855841" w:rsidRPr="00C67C91" w:rsidRDefault="00855841"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21.770.413,70</w:t>
            </w:r>
          </w:p>
        </w:tc>
      </w:tr>
      <w:tr w:rsidR="00855841" w:rsidRPr="00C67C91" w:rsidTr="008C2F9C">
        <w:trPr>
          <w:trHeight w:val="340"/>
        </w:trPr>
        <w:tc>
          <w:tcPr>
            <w:tcW w:w="2746" w:type="pct"/>
            <w:tcBorders>
              <w:top w:val="single" w:sz="4" w:space="0" w:color="auto"/>
              <w:left w:val="nil"/>
              <w:bottom w:val="nil"/>
              <w:right w:val="nil"/>
            </w:tcBorders>
            <w:vAlign w:val="center"/>
            <w:hideMark/>
          </w:tcPr>
          <w:p w:rsidR="00855841" w:rsidRPr="00C67C91" w:rsidRDefault="00855841"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II. Inmovilizado material </w:t>
            </w:r>
          </w:p>
        </w:tc>
        <w:tc>
          <w:tcPr>
            <w:tcW w:w="656" w:type="pct"/>
            <w:tcBorders>
              <w:top w:val="single" w:sz="4" w:space="0" w:color="auto"/>
              <w:left w:val="nil"/>
              <w:bottom w:val="nil"/>
              <w:right w:val="nil"/>
            </w:tcBorders>
            <w:vAlign w:val="center"/>
            <w:hideMark/>
          </w:tcPr>
          <w:p w:rsidR="00855841" w:rsidRPr="008A1A4C" w:rsidRDefault="00855841" w:rsidP="00A02770">
            <w:pPr>
              <w:spacing w:after="0" w:line="240" w:lineRule="auto"/>
              <w:jc w:val="center"/>
              <w:rPr>
                <w:rFonts w:ascii="Arial" w:hAnsi="Arial" w:cs="Arial"/>
                <w:color w:val="000000"/>
                <w:sz w:val="18"/>
                <w:szCs w:val="18"/>
              </w:rPr>
            </w:pPr>
            <w:r w:rsidRPr="008A1A4C">
              <w:rPr>
                <w:rFonts w:ascii="Arial" w:hAnsi="Arial" w:cs="Arial"/>
                <w:color w:val="000000"/>
                <w:sz w:val="18"/>
                <w:szCs w:val="18"/>
              </w:rPr>
              <w:t>4</w:t>
            </w:r>
          </w:p>
        </w:tc>
        <w:tc>
          <w:tcPr>
            <w:tcW w:w="820" w:type="pct"/>
            <w:tcBorders>
              <w:top w:val="single" w:sz="4" w:space="0" w:color="auto"/>
              <w:left w:val="nil"/>
              <w:bottom w:val="nil"/>
              <w:right w:val="nil"/>
            </w:tcBorders>
            <w:vAlign w:val="center"/>
            <w:hideMark/>
          </w:tcPr>
          <w:p w:rsidR="00855841" w:rsidRPr="00C67C91" w:rsidRDefault="00855841"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21.055.395,34</w:t>
            </w:r>
          </w:p>
        </w:tc>
        <w:tc>
          <w:tcPr>
            <w:tcW w:w="778" w:type="pct"/>
            <w:tcBorders>
              <w:top w:val="single" w:sz="4" w:space="0" w:color="auto"/>
              <w:left w:val="nil"/>
              <w:bottom w:val="nil"/>
              <w:right w:val="nil"/>
            </w:tcBorders>
            <w:vAlign w:val="center"/>
            <w:hideMark/>
          </w:tcPr>
          <w:p w:rsidR="00855841" w:rsidRPr="00C67C91" w:rsidRDefault="00855841"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21.761.260,49</w:t>
            </w:r>
          </w:p>
        </w:tc>
      </w:tr>
      <w:tr w:rsidR="00855841" w:rsidRPr="00C67C91" w:rsidTr="008C2F9C">
        <w:trPr>
          <w:trHeight w:val="340"/>
        </w:trPr>
        <w:tc>
          <w:tcPr>
            <w:tcW w:w="2746" w:type="pct"/>
            <w:tcBorders>
              <w:top w:val="nil"/>
              <w:left w:val="nil"/>
              <w:bottom w:val="nil"/>
              <w:right w:val="nil"/>
            </w:tcBorders>
            <w:vAlign w:val="center"/>
            <w:hideMark/>
          </w:tcPr>
          <w:p w:rsidR="00855841" w:rsidRPr="00C67C91" w:rsidRDefault="00855841"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VI. Activos por impuesto diferido </w:t>
            </w:r>
          </w:p>
        </w:tc>
        <w:tc>
          <w:tcPr>
            <w:tcW w:w="656" w:type="pct"/>
            <w:tcBorders>
              <w:top w:val="nil"/>
              <w:left w:val="nil"/>
              <w:bottom w:val="nil"/>
              <w:right w:val="nil"/>
            </w:tcBorders>
            <w:vAlign w:val="center"/>
            <w:hideMark/>
          </w:tcPr>
          <w:p w:rsidR="00855841" w:rsidRPr="008A1A4C" w:rsidRDefault="008A1A4C" w:rsidP="00A02770">
            <w:pPr>
              <w:spacing w:after="0" w:line="240" w:lineRule="auto"/>
              <w:jc w:val="center"/>
              <w:rPr>
                <w:rFonts w:ascii="Arial" w:hAnsi="Arial" w:cs="Arial"/>
                <w:bCs/>
                <w:color w:val="000000"/>
                <w:sz w:val="18"/>
                <w:szCs w:val="18"/>
              </w:rPr>
            </w:pPr>
            <w:r w:rsidRPr="008A1A4C">
              <w:rPr>
                <w:rFonts w:ascii="Arial" w:hAnsi="Arial" w:cs="Arial"/>
                <w:bCs/>
                <w:color w:val="000000"/>
                <w:sz w:val="18"/>
                <w:szCs w:val="18"/>
              </w:rPr>
              <w:t>8</w:t>
            </w:r>
          </w:p>
        </w:tc>
        <w:tc>
          <w:tcPr>
            <w:tcW w:w="820" w:type="pct"/>
            <w:tcBorders>
              <w:top w:val="nil"/>
              <w:left w:val="nil"/>
              <w:bottom w:val="nil"/>
              <w:right w:val="nil"/>
            </w:tcBorders>
            <w:vAlign w:val="center"/>
            <w:hideMark/>
          </w:tcPr>
          <w:p w:rsidR="00855841" w:rsidRPr="00C67C91" w:rsidRDefault="00855841"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9.153,21</w:t>
            </w:r>
          </w:p>
        </w:tc>
        <w:tc>
          <w:tcPr>
            <w:tcW w:w="778" w:type="pct"/>
            <w:tcBorders>
              <w:top w:val="nil"/>
              <w:left w:val="nil"/>
              <w:bottom w:val="nil"/>
              <w:right w:val="nil"/>
            </w:tcBorders>
            <w:vAlign w:val="center"/>
            <w:hideMark/>
          </w:tcPr>
          <w:p w:rsidR="00855841" w:rsidRPr="00C67C91" w:rsidRDefault="00855841"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9.153,21</w:t>
            </w:r>
          </w:p>
        </w:tc>
      </w:tr>
      <w:tr w:rsidR="00855841" w:rsidRPr="00C67C91" w:rsidTr="00203EFC">
        <w:trPr>
          <w:trHeight w:val="340"/>
        </w:trPr>
        <w:tc>
          <w:tcPr>
            <w:tcW w:w="2746" w:type="pct"/>
            <w:tcBorders>
              <w:top w:val="single" w:sz="4" w:space="0" w:color="auto"/>
              <w:left w:val="nil"/>
              <w:bottom w:val="single" w:sz="4" w:space="0" w:color="auto"/>
              <w:right w:val="nil"/>
            </w:tcBorders>
            <w:shd w:val="clear" w:color="000000" w:fill="F2F2F2"/>
            <w:vAlign w:val="center"/>
            <w:hideMark/>
          </w:tcPr>
          <w:p w:rsidR="00855841" w:rsidRPr="00C67C91" w:rsidRDefault="00855841"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B) ACTIVO CORRIENTE </w:t>
            </w:r>
          </w:p>
        </w:tc>
        <w:tc>
          <w:tcPr>
            <w:tcW w:w="656" w:type="pct"/>
            <w:tcBorders>
              <w:top w:val="single" w:sz="4" w:space="0" w:color="auto"/>
              <w:left w:val="nil"/>
              <w:bottom w:val="single" w:sz="4" w:space="0" w:color="auto"/>
              <w:right w:val="nil"/>
            </w:tcBorders>
            <w:shd w:val="clear" w:color="000000" w:fill="F2F2F2"/>
            <w:vAlign w:val="center"/>
            <w:hideMark/>
          </w:tcPr>
          <w:p w:rsidR="00855841" w:rsidRPr="00C67C91" w:rsidRDefault="00855841" w:rsidP="00A02770">
            <w:pPr>
              <w:spacing w:after="0" w:line="240" w:lineRule="auto"/>
              <w:jc w:val="center"/>
              <w:rPr>
                <w:rFonts w:ascii="Arial" w:hAnsi="Arial" w:cs="Arial"/>
                <w:sz w:val="18"/>
                <w:szCs w:val="18"/>
              </w:rPr>
            </w:pPr>
          </w:p>
        </w:tc>
        <w:tc>
          <w:tcPr>
            <w:tcW w:w="820" w:type="pct"/>
            <w:tcBorders>
              <w:top w:val="single" w:sz="4" w:space="0" w:color="auto"/>
              <w:left w:val="nil"/>
              <w:bottom w:val="single" w:sz="4" w:space="0" w:color="auto"/>
              <w:right w:val="nil"/>
            </w:tcBorders>
            <w:shd w:val="clear" w:color="000000" w:fill="F2F2F2"/>
            <w:vAlign w:val="center"/>
            <w:hideMark/>
          </w:tcPr>
          <w:p w:rsidR="00855841" w:rsidRPr="00C67C91" w:rsidRDefault="00D6164D"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6.431.494,84</w:t>
            </w:r>
          </w:p>
        </w:tc>
        <w:tc>
          <w:tcPr>
            <w:tcW w:w="778" w:type="pct"/>
            <w:tcBorders>
              <w:top w:val="single" w:sz="4" w:space="0" w:color="auto"/>
              <w:left w:val="nil"/>
              <w:bottom w:val="single" w:sz="4" w:space="0" w:color="auto"/>
              <w:right w:val="nil"/>
            </w:tcBorders>
            <w:shd w:val="clear" w:color="000000" w:fill="F2F2F2"/>
            <w:vAlign w:val="center"/>
            <w:hideMark/>
          </w:tcPr>
          <w:p w:rsidR="00855841" w:rsidRPr="00C67C91" w:rsidRDefault="00855841"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4.909.809,24</w:t>
            </w:r>
          </w:p>
        </w:tc>
      </w:tr>
      <w:tr w:rsidR="00855841" w:rsidRPr="00C67C91" w:rsidTr="008C2F9C">
        <w:trPr>
          <w:trHeight w:val="340"/>
        </w:trPr>
        <w:tc>
          <w:tcPr>
            <w:tcW w:w="2746" w:type="pct"/>
            <w:tcBorders>
              <w:top w:val="single" w:sz="4" w:space="0" w:color="auto"/>
              <w:left w:val="nil"/>
              <w:bottom w:val="nil"/>
              <w:right w:val="nil"/>
            </w:tcBorders>
            <w:vAlign w:val="center"/>
            <w:hideMark/>
          </w:tcPr>
          <w:p w:rsidR="00855841" w:rsidRPr="00C67C91" w:rsidRDefault="00855841"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III. Deudores comerciales y otras cuentas a cobrar </w:t>
            </w:r>
          </w:p>
        </w:tc>
        <w:tc>
          <w:tcPr>
            <w:tcW w:w="656" w:type="pct"/>
            <w:tcBorders>
              <w:top w:val="single" w:sz="4" w:space="0" w:color="auto"/>
              <w:left w:val="nil"/>
              <w:bottom w:val="nil"/>
              <w:right w:val="nil"/>
            </w:tcBorders>
            <w:vAlign w:val="center"/>
            <w:hideMark/>
          </w:tcPr>
          <w:p w:rsidR="00855841" w:rsidRPr="008A1A4C" w:rsidRDefault="00855841" w:rsidP="00A02770">
            <w:pPr>
              <w:spacing w:after="0" w:line="240" w:lineRule="auto"/>
              <w:jc w:val="center"/>
              <w:rPr>
                <w:rFonts w:ascii="Arial" w:hAnsi="Arial" w:cs="Arial"/>
                <w:bCs/>
                <w:color w:val="000000"/>
                <w:sz w:val="18"/>
                <w:szCs w:val="18"/>
              </w:rPr>
            </w:pPr>
          </w:p>
        </w:tc>
        <w:tc>
          <w:tcPr>
            <w:tcW w:w="820" w:type="pct"/>
            <w:tcBorders>
              <w:top w:val="single" w:sz="4" w:space="0" w:color="auto"/>
              <w:left w:val="nil"/>
              <w:bottom w:val="nil"/>
              <w:right w:val="nil"/>
            </w:tcBorders>
            <w:vAlign w:val="center"/>
            <w:hideMark/>
          </w:tcPr>
          <w:p w:rsidR="00855841" w:rsidRPr="00C67C91" w:rsidRDefault="00855841"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5.741.746,20</w:t>
            </w:r>
          </w:p>
        </w:tc>
        <w:tc>
          <w:tcPr>
            <w:tcW w:w="778" w:type="pct"/>
            <w:tcBorders>
              <w:top w:val="single" w:sz="4" w:space="0" w:color="auto"/>
              <w:left w:val="nil"/>
              <w:bottom w:val="nil"/>
              <w:right w:val="nil"/>
            </w:tcBorders>
            <w:vAlign w:val="center"/>
            <w:hideMark/>
          </w:tcPr>
          <w:p w:rsidR="00855841" w:rsidRPr="00C67C91" w:rsidRDefault="00855841"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3.972.014,24</w:t>
            </w:r>
          </w:p>
        </w:tc>
      </w:tr>
      <w:tr w:rsidR="00855841" w:rsidRPr="00C67C91" w:rsidTr="00203EFC">
        <w:trPr>
          <w:trHeight w:val="283"/>
        </w:trPr>
        <w:tc>
          <w:tcPr>
            <w:tcW w:w="2746" w:type="pct"/>
            <w:tcBorders>
              <w:top w:val="nil"/>
              <w:left w:val="nil"/>
              <w:bottom w:val="nil"/>
              <w:right w:val="nil"/>
            </w:tcBorders>
            <w:vAlign w:val="center"/>
            <w:hideMark/>
          </w:tcPr>
          <w:p w:rsidR="00855841" w:rsidRPr="00C67C91" w:rsidRDefault="00855841" w:rsidP="00A02770">
            <w:pPr>
              <w:spacing w:after="0" w:line="240" w:lineRule="auto"/>
              <w:rPr>
                <w:rFonts w:ascii="Arial" w:hAnsi="Arial" w:cs="Arial"/>
                <w:color w:val="000000"/>
                <w:sz w:val="18"/>
                <w:szCs w:val="18"/>
              </w:rPr>
            </w:pPr>
            <w:r w:rsidRPr="00C67C91">
              <w:rPr>
                <w:rFonts w:ascii="Arial" w:hAnsi="Arial" w:cs="Arial"/>
                <w:color w:val="000000"/>
                <w:sz w:val="18"/>
                <w:szCs w:val="18"/>
              </w:rPr>
              <w:t xml:space="preserve">1. Clientes por ventas y prestaciones de servicios </w:t>
            </w:r>
          </w:p>
        </w:tc>
        <w:tc>
          <w:tcPr>
            <w:tcW w:w="656" w:type="pct"/>
            <w:tcBorders>
              <w:top w:val="nil"/>
              <w:left w:val="nil"/>
              <w:bottom w:val="nil"/>
              <w:right w:val="nil"/>
            </w:tcBorders>
            <w:vAlign w:val="center"/>
            <w:hideMark/>
          </w:tcPr>
          <w:p w:rsidR="00855841" w:rsidRPr="008A1A4C" w:rsidRDefault="00855841" w:rsidP="00A02770">
            <w:pPr>
              <w:spacing w:after="0" w:line="240" w:lineRule="auto"/>
              <w:jc w:val="center"/>
              <w:rPr>
                <w:rFonts w:ascii="Arial" w:hAnsi="Arial" w:cs="Arial"/>
                <w:bCs/>
                <w:color w:val="000000"/>
                <w:sz w:val="18"/>
                <w:szCs w:val="18"/>
              </w:rPr>
            </w:pPr>
          </w:p>
        </w:tc>
        <w:tc>
          <w:tcPr>
            <w:tcW w:w="820" w:type="pct"/>
            <w:tcBorders>
              <w:top w:val="nil"/>
              <w:left w:val="nil"/>
              <w:bottom w:val="nil"/>
              <w:right w:val="nil"/>
            </w:tcBorders>
            <w:vAlign w:val="center"/>
            <w:hideMark/>
          </w:tcPr>
          <w:p w:rsidR="003E25F4" w:rsidRPr="00C67C91" w:rsidRDefault="003E25F4"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5.741.742.39</w:t>
            </w:r>
          </w:p>
        </w:tc>
        <w:tc>
          <w:tcPr>
            <w:tcW w:w="778" w:type="pct"/>
            <w:tcBorders>
              <w:top w:val="nil"/>
              <w:left w:val="nil"/>
              <w:bottom w:val="nil"/>
              <w:right w:val="nil"/>
            </w:tcBorders>
            <w:vAlign w:val="center"/>
            <w:hideMark/>
          </w:tcPr>
          <w:p w:rsidR="00855841" w:rsidRPr="00C67C91" w:rsidRDefault="00855841"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3.962.621,05</w:t>
            </w:r>
          </w:p>
        </w:tc>
      </w:tr>
      <w:tr w:rsidR="00855841" w:rsidRPr="00C67C91" w:rsidTr="00203EFC">
        <w:trPr>
          <w:trHeight w:val="283"/>
        </w:trPr>
        <w:tc>
          <w:tcPr>
            <w:tcW w:w="2746" w:type="pct"/>
            <w:tcBorders>
              <w:top w:val="nil"/>
              <w:left w:val="nil"/>
              <w:bottom w:val="nil"/>
              <w:right w:val="nil"/>
            </w:tcBorders>
            <w:vAlign w:val="center"/>
            <w:hideMark/>
          </w:tcPr>
          <w:p w:rsidR="00855841" w:rsidRPr="00C67C91" w:rsidRDefault="00855841" w:rsidP="00A02770">
            <w:pPr>
              <w:spacing w:after="0" w:line="240" w:lineRule="auto"/>
              <w:ind w:left="215"/>
              <w:rPr>
                <w:rFonts w:ascii="Arial" w:hAnsi="Arial" w:cs="Arial"/>
                <w:color w:val="000000"/>
                <w:sz w:val="18"/>
                <w:szCs w:val="18"/>
              </w:rPr>
            </w:pPr>
            <w:r w:rsidRPr="00C67C91">
              <w:rPr>
                <w:rFonts w:ascii="Arial" w:hAnsi="Arial" w:cs="Arial"/>
                <w:color w:val="000000"/>
                <w:sz w:val="18"/>
                <w:szCs w:val="18"/>
              </w:rPr>
              <w:t>a) Clientes por vent</w:t>
            </w:r>
            <w:r w:rsidR="000D57B2" w:rsidRPr="00C67C91">
              <w:rPr>
                <w:rFonts w:ascii="Arial" w:hAnsi="Arial" w:cs="Arial"/>
                <w:color w:val="000000"/>
                <w:sz w:val="18"/>
                <w:szCs w:val="18"/>
              </w:rPr>
              <w:t>as y prestaciones de servicios</w:t>
            </w:r>
            <w:r w:rsidRPr="00C67C91">
              <w:rPr>
                <w:rFonts w:ascii="Arial" w:hAnsi="Arial" w:cs="Arial"/>
                <w:color w:val="000000"/>
                <w:sz w:val="18"/>
                <w:szCs w:val="18"/>
              </w:rPr>
              <w:t xml:space="preserve"> </w:t>
            </w:r>
          </w:p>
        </w:tc>
        <w:tc>
          <w:tcPr>
            <w:tcW w:w="656" w:type="pct"/>
            <w:tcBorders>
              <w:top w:val="nil"/>
              <w:left w:val="nil"/>
              <w:bottom w:val="nil"/>
              <w:right w:val="nil"/>
            </w:tcBorders>
            <w:vAlign w:val="center"/>
            <w:hideMark/>
          </w:tcPr>
          <w:p w:rsidR="00855841" w:rsidRPr="008A1A4C" w:rsidRDefault="003E25F4" w:rsidP="00A02770">
            <w:pPr>
              <w:spacing w:after="0" w:line="240" w:lineRule="auto"/>
              <w:jc w:val="center"/>
              <w:rPr>
                <w:rFonts w:ascii="Arial" w:hAnsi="Arial" w:cs="Arial"/>
                <w:color w:val="000000"/>
                <w:sz w:val="18"/>
                <w:szCs w:val="18"/>
              </w:rPr>
            </w:pPr>
            <w:r w:rsidRPr="008A1A4C">
              <w:rPr>
                <w:rFonts w:ascii="Arial" w:hAnsi="Arial" w:cs="Arial"/>
                <w:color w:val="000000"/>
                <w:sz w:val="18"/>
                <w:szCs w:val="18"/>
              </w:rPr>
              <w:t>5</w:t>
            </w:r>
            <w:r w:rsidR="008A1A4C" w:rsidRPr="008A1A4C">
              <w:rPr>
                <w:rFonts w:ascii="Arial" w:hAnsi="Arial" w:cs="Arial"/>
                <w:color w:val="000000"/>
                <w:sz w:val="18"/>
                <w:szCs w:val="18"/>
              </w:rPr>
              <w:t>.e</w:t>
            </w:r>
          </w:p>
        </w:tc>
        <w:tc>
          <w:tcPr>
            <w:tcW w:w="820" w:type="pct"/>
            <w:tcBorders>
              <w:top w:val="nil"/>
              <w:left w:val="nil"/>
              <w:bottom w:val="nil"/>
              <w:right w:val="nil"/>
            </w:tcBorders>
            <w:vAlign w:val="center"/>
            <w:hideMark/>
          </w:tcPr>
          <w:p w:rsidR="00855841" w:rsidRPr="00C67C91" w:rsidRDefault="00855841"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1.260.742,39</w:t>
            </w:r>
          </w:p>
        </w:tc>
        <w:tc>
          <w:tcPr>
            <w:tcW w:w="778" w:type="pct"/>
            <w:tcBorders>
              <w:top w:val="nil"/>
              <w:left w:val="nil"/>
              <w:bottom w:val="nil"/>
              <w:right w:val="nil"/>
            </w:tcBorders>
            <w:vAlign w:val="center"/>
            <w:hideMark/>
          </w:tcPr>
          <w:p w:rsidR="00855841" w:rsidRPr="00C67C91" w:rsidRDefault="00855841"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765.621,05</w:t>
            </w:r>
          </w:p>
        </w:tc>
      </w:tr>
      <w:tr w:rsidR="003E25F4" w:rsidRPr="00C67C91" w:rsidTr="00203EFC">
        <w:trPr>
          <w:trHeight w:val="283"/>
        </w:trPr>
        <w:tc>
          <w:tcPr>
            <w:tcW w:w="2746" w:type="pct"/>
            <w:tcBorders>
              <w:top w:val="nil"/>
              <w:left w:val="nil"/>
              <w:bottom w:val="nil"/>
              <w:right w:val="nil"/>
            </w:tcBorders>
            <w:vAlign w:val="center"/>
            <w:hideMark/>
          </w:tcPr>
          <w:p w:rsidR="003E25F4" w:rsidRPr="00C67C91" w:rsidRDefault="003E25F4" w:rsidP="00A02770">
            <w:pPr>
              <w:spacing w:after="0" w:line="240" w:lineRule="auto"/>
              <w:ind w:left="215"/>
              <w:rPr>
                <w:rFonts w:ascii="Arial" w:hAnsi="Arial" w:cs="Arial"/>
                <w:color w:val="000000"/>
                <w:sz w:val="18"/>
                <w:szCs w:val="18"/>
              </w:rPr>
            </w:pPr>
            <w:r w:rsidRPr="00C67C91">
              <w:rPr>
                <w:rFonts w:ascii="Arial" w:hAnsi="Arial" w:cs="Arial"/>
                <w:color w:val="000000"/>
                <w:sz w:val="18"/>
                <w:szCs w:val="18"/>
              </w:rPr>
              <w:t xml:space="preserve">b) Empresas Grupo y Asociadas </w:t>
            </w:r>
          </w:p>
        </w:tc>
        <w:tc>
          <w:tcPr>
            <w:tcW w:w="656" w:type="pct"/>
            <w:tcBorders>
              <w:top w:val="nil"/>
              <w:left w:val="nil"/>
              <w:bottom w:val="nil"/>
              <w:right w:val="nil"/>
            </w:tcBorders>
            <w:vAlign w:val="center"/>
            <w:hideMark/>
          </w:tcPr>
          <w:p w:rsidR="003E25F4" w:rsidRPr="008A1A4C" w:rsidRDefault="003E25F4" w:rsidP="00A02770">
            <w:pPr>
              <w:spacing w:after="0" w:line="240" w:lineRule="auto"/>
              <w:jc w:val="center"/>
              <w:rPr>
                <w:rFonts w:ascii="Arial" w:hAnsi="Arial" w:cs="Arial"/>
                <w:color w:val="000000"/>
                <w:sz w:val="18"/>
                <w:szCs w:val="18"/>
              </w:rPr>
            </w:pPr>
            <w:r w:rsidRPr="008A1A4C">
              <w:rPr>
                <w:rFonts w:ascii="Arial" w:hAnsi="Arial" w:cs="Arial"/>
                <w:color w:val="000000"/>
                <w:sz w:val="18"/>
                <w:szCs w:val="18"/>
              </w:rPr>
              <w:t>5</w:t>
            </w:r>
            <w:r w:rsidR="008A1A4C" w:rsidRPr="008A1A4C">
              <w:rPr>
                <w:rFonts w:ascii="Arial" w:hAnsi="Arial" w:cs="Arial"/>
                <w:color w:val="000000"/>
                <w:sz w:val="18"/>
                <w:szCs w:val="18"/>
              </w:rPr>
              <w:t>.e</w:t>
            </w:r>
            <w:r w:rsidRPr="008A1A4C">
              <w:rPr>
                <w:rFonts w:ascii="Arial" w:hAnsi="Arial" w:cs="Arial"/>
                <w:color w:val="000000"/>
                <w:sz w:val="18"/>
                <w:szCs w:val="18"/>
              </w:rPr>
              <w:t xml:space="preserve"> y 9</w:t>
            </w:r>
          </w:p>
        </w:tc>
        <w:tc>
          <w:tcPr>
            <w:tcW w:w="820" w:type="pct"/>
            <w:tcBorders>
              <w:top w:val="nil"/>
              <w:left w:val="nil"/>
              <w:bottom w:val="nil"/>
              <w:right w:val="nil"/>
            </w:tcBorders>
            <w:vAlign w:val="center"/>
            <w:hideMark/>
          </w:tcPr>
          <w:p w:rsidR="003E25F4" w:rsidRPr="00C67C91" w:rsidRDefault="003E25F4"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4.481.00</w:t>
            </w:r>
            <w:r w:rsidR="008C1253">
              <w:rPr>
                <w:rFonts w:ascii="Arial" w:hAnsi="Arial" w:cs="Arial"/>
                <w:color w:val="000000"/>
                <w:sz w:val="18"/>
                <w:szCs w:val="18"/>
              </w:rPr>
              <w:t>0</w:t>
            </w:r>
            <w:r w:rsidRPr="00C67C91">
              <w:rPr>
                <w:rFonts w:ascii="Arial" w:hAnsi="Arial" w:cs="Arial"/>
                <w:color w:val="000000"/>
                <w:sz w:val="18"/>
                <w:szCs w:val="18"/>
              </w:rPr>
              <w:t>,</w:t>
            </w:r>
            <w:r w:rsidR="008C1253">
              <w:rPr>
                <w:rFonts w:ascii="Arial" w:hAnsi="Arial" w:cs="Arial"/>
                <w:color w:val="000000"/>
                <w:sz w:val="18"/>
                <w:szCs w:val="18"/>
              </w:rPr>
              <w:t>00</w:t>
            </w:r>
          </w:p>
        </w:tc>
        <w:tc>
          <w:tcPr>
            <w:tcW w:w="778" w:type="pct"/>
            <w:tcBorders>
              <w:top w:val="nil"/>
              <w:left w:val="nil"/>
              <w:bottom w:val="nil"/>
              <w:right w:val="nil"/>
            </w:tcBorders>
            <w:vAlign w:val="center"/>
            <w:hideMark/>
          </w:tcPr>
          <w:p w:rsidR="003E25F4" w:rsidRPr="00C67C91" w:rsidRDefault="003E25F4"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3.197.000,00</w:t>
            </w:r>
          </w:p>
        </w:tc>
      </w:tr>
      <w:tr w:rsidR="003E25F4" w:rsidRPr="00C67C91" w:rsidTr="00203EFC">
        <w:trPr>
          <w:trHeight w:val="283"/>
        </w:trPr>
        <w:tc>
          <w:tcPr>
            <w:tcW w:w="2746" w:type="pct"/>
            <w:tcBorders>
              <w:top w:val="nil"/>
              <w:left w:val="nil"/>
              <w:bottom w:val="nil"/>
              <w:right w:val="nil"/>
            </w:tcBorders>
            <w:vAlign w:val="center"/>
            <w:hideMark/>
          </w:tcPr>
          <w:p w:rsidR="003E25F4" w:rsidRPr="00C67C91" w:rsidRDefault="003E25F4" w:rsidP="00A02770">
            <w:pPr>
              <w:spacing w:after="0" w:line="240" w:lineRule="auto"/>
              <w:rPr>
                <w:rFonts w:ascii="Arial" w:hAnsi="Arial" w:cs="Arial"/>
                <w:color w:val="000000"/>
                <w:sz w:val="18"/>
                <w:szCs w:val="18"/>
              </w:rPr>
            </w:pPr>
            <w:r w:rsidRPr="00C67C91">
              <w:rPr>
                <w:rFonts w:ascii="Arial" w:hAnsi="Arial" w:cs="Arial"/>
                <w:color w:val="000000"/>
                <w:sz w:val="18"/>
                <w:szCs w:val="18"/>
              </w:rPr>
              <w:t xml:space="preserve">3. Otros deudores </w:t>
            </w:r>
          </w:p>
        </w:tc>
        <w:tc>
          <w:tcPr>
            <w:tcW w:w="656" w:type="pct"/>
            <w:tcBorders>
              <w:top w:val="nil"/>
              <w:left w:val="nil"/>
              <w:bottom w:val="nil"/>
              <w:right w:val="nil"/>
            </w:tcBorders>
            <w:vAlign w:val="center"/>
            <w:hideMark/>
          </w:tcPr>
          <w:p w:rsidR="003E25F4" w:rsidRPr="008A1A4C" w:rsidRDefault="003E25F4" w:rsidP="00A02770">
            <w:pPr>
              <w:spacing w:after="0" w:line="240" w:lineRule="auto"/>
              <w:jc w:val="center"/>
              <w:rPr>
                <w:rFonts w:ascii="Arial" w:hAnsi="Arial" w:cs="Arial"/>
                <w:color w:val="000000"/>
                <w:sz w:val="18"/>
                <w:szCs w:val="18"/>
              </w:rPr>
            </w:pPr>
            <w:r w:rsidRPr="008A1A4C">
              <w:rPr>
                <w:rFonts w:ascii="Arial" w:hAnsi="Arial" w:cs="Arial"/>
                <w:color w:val="000000"/>
                <w:sz w:val="18"/>
                <w:szCs w:val="18"/>
              </w:rPr>
              <w:t>8</w:t>
            </w:r>
          </w:p>
        </w:tc>
        <w:tc>
          <w:tcPr>
            <w:tcW w:w="820" w:type="pct"/>
            <w:tcBorders>
              <w:top w:val="nil"/>
              <w:left w:val="nil"/>
              <w:bottom w:val="nil"/>
              <w:right w:val="nil"/>
            </w:tcBorders>
            <w:vAlign w:val="center"/>
          </w:tcPr>
          <w:p w:rsidR="003E25F4" w:rsidRPr="00C67C91" w:rsidRDefault="00150594"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3,</w:t>
            </w:r>
            <w:r w:rsidR="003E25F4" w:rsidRPr="00C67C91">
              <w:rPr>
                <w:rFonts w:ascii="Arial" w:hAnsi="Arial" w:cs="Arial"/>
                <w:color w:val="000000"/>
                <w:sz w:val="18"/>
                <w:szCs w:val="18"/>
              </w:rPr>
              <w:t>81</w:t>
            </w:r>
          </w:p>
        </w:tc>
        <w:tc>
          <w:tcPr>
            <w:tcW w:w="778" w:type="pct"/>
            <w:tcBorders>
              <w:top w:val="nil"/>
              <w:left w:val="nil"/>
              <w:bottom w:val="nil"/>
              <w:right w:val="nil"/>
            </w:tcBorders>
            <w:vAlign w:val="center"/>
            <w:hideMark/>
          </w:tcPr>
          <w:p w:rsidR="003E25F4" w:rsidRPr="00C67C91" w:rsidRDefault="003E25F4"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9.393,19</w:t>
            </w:r>
          </w:p>
        </w:tc>
      </w:tr>
      <w:tr w:rsidR="003E25F4" w:rsidRPr="00C67C91" w:rsidTr="008C2F9C">
        <w:trPr>
          <w:trHeight w:val="340"/>
        </w:trPr>
        <w:tc>
          <w:tcPr>
            <w:tcW w:w="2746" w:type="pct"/>
            <w:tcBorders>
              <w:top w:val="nil"/>
              <w:left w:val="nil"/>
              <w:bottom w:val="nil"/>
              <w:right w:val="nil"/>
            </w:tcBorders>
            <w:vAlign w:val="center"/>
            <w:hideMark/>
          </w:tcPr>
          <w:p w:rsidR="003E25F4" w:rsidRPr="00C67C91" w:rsidRDefault="003E25F4"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IV. Inversiones </w:t>
            </w:r>
            <w:r w:rsidR="000D57B2" w:rsidRPr="00C67C91">
              <w:rPr>
                <w:rFonts w:ascii="Arial" w:hAnsi="Arial" w:cs="Arial"/>
                <w:b/>
                <w:bCs/>
                <w:color w:val="000000"/>
                <w:sz w:val="18"/>
                <w:szCs w:val="18"/>
              </w:rPr>
              <w:t>en Eª</w:t>
            </w:r>
            <w:r w:rsidRPr="00C67C91">
              <w:rPr>
                <w:rFonts w:ascii="Arial" w:hAnsi="Arial" w:cs="Arial"/>
                <w:b/>
                <w:bCs/>
                <w:color w:val="000000"/>
                <w:sz w:val="18"/>
                <w:szCs w:val="18"/>
              </w:rPr>
              <w:t xml:space="preserve"> del grupo y asociadas a c</w:t>
            </w:r>
            <w:r w:rsidR="000D57B2" w:rsidRPr="00C67C91">
              <w:rPr>
                <w:rFonts w:ascii="Arial" w:hAnsi="Arial" w:cs="Arial"/>
                <w:b/>
                <w:bCs/>
                <w:color w:val="000000"/>
                <w:sz w:val="18"/>
                <w:szCs w:val="18"/>
              </w:rPr>
              <w:t>/p</w:t>
            </w:r>
            <w:r w:rsidRPr="00C67C91">
              <w:rPr>
                <w:rFonts w:ascii="Arial" w:hAnsi="Arial" w:cs="Arial"/>
                <w:b/>
                <w:bCs/>
                <w:color w:val="000000"/>
                <w:sz w:val="18"/>
                <w:szCs w:val="18"/>
              </w:rPr>
              <w:t xml:space="preserve"> </w:t>
            </w:r>
          </w:p>
        </w:tc>
        <w:tc>
          <w:tcPr>
            <w:tcW w:w="656" w:type="pct"/>
            <w:tcBorders>
              <w:top w:val="nil"/>
              <w:left w:val="nil"/>
              <w:bottom w:val="nil"/>
              <w:right w:val="nil"/>
            </w:tcBorders>
            <w:vAlign w:val="center"/>
            <w:hideMark/>
          </w:tcPr>
          <w:p w:rsidR="003E25F4" w:rsidRPr="008A1A4C" w:rsidRDefault="008A1A4C" w:rsidP="00A02770">
            <w:pPr>
              <w:spacing w:after="0" w:line="240" w:lineRule="auto"/>
              <w:jc w:val="center"/>
              <w:rPr>
                <w:rFonts w:ascii="Arial" w:hAnsi="Arial" w:cs="Arial"/>
                <w:bCs/>
                <w:color w:val="000000"/>
                <w:sz w:val="18"/>
                <w:szCs w:val="18"/>
              </w:rPr>
            </w:pPr>
            <w:r w:rsidRPr="008A1A4C">
              <w:rPr>
                <w:rFonts w:ascii="Arial" w:hAnsi="Arial" w:cs="Arial"/>
                <w:bCs/>
                <w:color w:val="000000"/>
                <w:sz w:val="18"/>
                <w:szCs w:val="18"/>
              </w:rPr>
              <w:t>5.e y 9</w:t>
            </w:r>
          </w:p>
        </w:tc>
        <w:tc>
          <w:tcPr>
            <w:tcW w:w="820" w:type="pct"/>
            <w:tcBorders>
              <w:top w:val="nil"/>
              <w:left w:val="nil"/>
              <w:bottom w:val="nil"/>
              <w:right w:val="nil"/>
            </w:tcBorders>
            <w:vAlign w:val="center"/>
            <w:hideMark/>
          </w:tcPr>
          <w:p w:rsidR="003E25F4" w:rsidRPr="00C67C91" w:rsidRDefault="00D6164D"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533.538,63</w:t>
            </w:r>
          </w:p>
        </w:tc>
        <w:tc>
          <w:tcPr>
            <w:tcW w:w="778" w:type="pct"/>
            <w:tcBorders>
              <w:top w:val="nil"/>
              <w:left w:val="nil"/>
              <w:bottom w:val="nil"/>
              <w:right w:val="nil"/>
            </w:tcBorders>
            <w:vAlign w:val="center"/>
            <w:hideMark/>
          </w:tcPr>
          <w:p w:rsidR="003E25F4" w:rsidRPr="00C67C91" w:rsidRDefault="003E25F4"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519.840,92</w:t>
            </w:r>
          </w:p>
        </w:tc>
      </w:tr>
      <w:tr w:rsidR="003E25F4" w:rsidRPr="00C67C91" w:rsidTr="008C2F9C">
        <w:trPr>
          <w:trHeight w:val="340"/>
        </w:trPr>
        <w:tc>
          <w:tcPr>
            <w:tcW w:w="2746" w:type="pct"/>
            <w:tcBorders>
              <w:top w:val="nil"/>
              <w:left w:val="nil"/>
              <w:bottom w:val="nil"/>
              <w:right w:val="nil"/>
            </w:tcBorders>
            <w:vAlign w:val="center"/>
            <w:hideMark/>
          </w:tcPr>
          <w:p w:rsidR="003E25F4" w:rsidRPr="00C67C91" w:rsidRDefault="003E25F4"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V. Inversiones financieras a corto plazo </w:t>
            </w:r>
          </w:p>
        </w:tc>
        <w:tc>
          <w:tcPr>
            <w:tcW w:w="656" w:type="pct"/>
            <w:tcBorders>
              <w:top w:val="nil"/>
              <w:left w:val="nil"/>
              <w:bottom w:val="nil"/>
              <w:right w:val="nil"/>
            </w:tcBorders>
            <w:vAlign w:val="center"/>
            <w:hideMark/>
          </w:tcPr>
          <w:p w:rsidR="003E25F4" w:rsidRPr="008A1A4C" w:rsidRDefault="003E25F4" w:rsidP="00A02770">
            <w:pPr>
              <w:spacing w:after="0" w:line="240" w:lineRule="auto"/>
              <w:jc w:val="center"/>
              <w:rPr>
                <w:rFonts w:ascii="Arial" w:hAnsi="Arial" w:cs="Arial"/>
                <w:color w:val="000000"/>
                <w:sz w:val="18"/>
                <w:szCs w:val="18"/>
              </w:rPr>
            </w:pPr>
            <w:r w:rsidRPr="008A1A4C">
              <w:rPr>
                <w:rFonts w:ascii="Arial" w:hAnsi="Arial" w:cs="Arial"/>
                <w:color w:val="000000"/>
                <w:sz w:val="18"/>
                <w:szCs w:val="18"/>
              </w:rPr>
              <w:t>5</w:t>
            </w:r>
            <w:r w:rsidR="008A1A4C" w:rsidRPr="008A1A4C">
              <w:rPr>
                <w:rFonts w:ascii="Arial" w:hAnsi="Arial" w:cs="Arial"/>
                <w:color w:val="000000"/>
                <w:sz w:val="18"/>
                <w:szCs w:val="18"/>
              </w:rPr>
              <w:t>.e</w:t>
            </w:r>
          </w:p>
        </w:tc>
        <w:tc>
          <w:tcPr>
            <w:tcW w:w="820" w:type="pct"/>
            <w:tcBorders>
              <w:top w:val="nil"/>
              <w:left w:val="nil"/>
              <w:bottom w:val="nil"/>
              <w:right w:val="nil"/>
            </w:tcBorders>
            <w:vAlign w:val="center"/>
            <w:hideMark/>
          </w:tcPr>
          <w:p w:rsidR="003E25F4" w:rsidRPr="00C67C91" w:rsidRDefault="003E25F4"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154,08</w:t>
            </w:r>
          </w:p>
        </w:tc>
        <w:tc>
          <w:tcPr>
            <w:tcW w:w="778" w:type="pct"/>
            <w:tcBorders>
              <w:top w:val="nil"/>
              <w:left w:val="nil"/>
              <w:bottom w:val="nil"/>
              <w:right w:val="nil"/>
            </w:tcBorders>
            <w:vAlign w:val="center"/>
            <w:hideMark/>
          </w:tcPr>
          <w:p w:rsidR="003E25F4" w:rsidRPr="00C67C91" w:rsidRDefault="003E25F4"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154,08</w:t>
            </w:r>
          </w:p>
        </w:tc>
      </w:tr>
      <w:tr w:rsidR="003E25F4" w:rsidRPr="00C67C91" w:rsidTr="008C2F9C">
        <w:trPr>
          <w:trHeight w:val="340"/>
        </w:trPr>
        <w:tc>
          <w:tcPr>
            <w:tcW w:w="2746" w:type="pct"/>
            <w:tcBorders>
              <w:top w:val="nil"/>
              <w:left w:val="nil"/>
              <w:right w:val="nil"/>
            </w:tcBorders>
            <w:vAlign w:val="center"/>
            <w:hideMark/>
          </w:tcPr>
          <w:p w:rsidR="003E25F4" w:rsidRPr="00C67C91" w:rsidRDefault="003E25F4"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VII. Efectivo y otros activos líquidos equivalentes </w:t>
            </w:r>
          </w:p>
        </w:tc>
        <w:tc>
          <w:tcPr>
            <w:tcW w:w="656" w:type="pct"/>
            <w:tcBorders>
              <w:top w:val="nil"/>
              <w:left w:val="nil"/>
              <w:right w:val="nil"/>
            </w:tcBorders>
            <w:vAlign w:val="center"/>
            <w:hideMark/>
          </w:tcPr>
          <w:p w:rsidR="003E25F4" w:rsidRPr="008A1A4C" w:rsidRDefault="003E25F4" w:rsidP="00A02770">
            <w:pPr>
              <w:spacing w:after="0" w:line="240" w:lineRule="auto"/>
              <w:jc w:val="center"/>
              <w:rPr>
                <w:rFonts w:ascii="Arial" w:hAnsi="Arial" w:cs="Arial"/>
                <w:color w:val="000000"/>
                <w:sz w:val="18"/>
                <w:szCs w:val="18"/>
              </w:rPr>
            </w:pPr>
            <w:r w:rsidRPr="008A1A4C">
              <w:rPr>
                <w:rFonts w:ascii="Arial" w:hAnsi="Arial" w:cs="Arial"/>
                <w:color w:val="000000"/>
                <w:sz w:val="18"/>
                <w:szCs w:val="18"/>
              </w:rPr>
              <w:t>5</w:t>
            </w:r>
            <w:r w:rsidR="008A1A4C" w:rsidRPr="008A1A4C">
              <w:rPr>
                <w:rFonts w:ascii="Arial" w:hAnsi="Arial" w:cs="Arial"/>
                <w:color w:val="000000"/>
                <w:sz w:val="18"/>
                <w:szCs w:val="18"/>
              </w:rPr>
              <w:t>.f</w:t>
            </w:r>
          </w:p>
        </w:tc>
        <w:tc>
          <w:tcPr>
            <w:tcW w:w="820" w:type="pct"/>
            <w:tcBorders>
              <w:top w:val="nil"/>
              <w:left w:val="nil"/>
              <w:right w:val="nil"/>
            </w:tcBorders>
            <w:vAlign w:val="center"/>
            <w:hideMark/>
          </w:tcPr>
          <w:p w:rsidR="003E25F4" w:rsidRPr="00C67C91" w:rsidRDefault="003E25F4"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156.055,93</w:t>
            </w:r>
          </w:p>
        </w:tc>
        <w:tc>
          <w:tcPr>
            <w:tcW w:w="778" w:type="pct"/>
            <w:tcBorders>
              <w:top w:val="nil"/>
              <w:left w:val="nil"/>
              <w:right w:val="nil"/>
            </w:tcBorders>
            <w:vAlign w:val="center"/>
            <w:hideMark/>
          </w:tcPr>
          <w:p w:rsidR="003E25F4" w:rsidRPr="00C67C91" w:rsidRDefault="003E25F4"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417.800,00</w:t>
            </w:r>
          </w:p>
        </w:tc>
      </w:tr>
      <w:tr w:rsidR="003E25F4" w:rsidRPr="00C67C91" w:rsidTr="00203EFC">
        <w:trPr>
          <w:trHeight w:val="340"/>
        </w:trPr>
        <w:tc>
          <w:tcPr>
            <w:tcW w:w="2746" w:type="pct"/>
            <w:tcBorders>
              <w:top w:val="single" w:sz="4" w:space="0" w:color="auto"/>
              <w:left w:val="nil"/>
              <w:bottom w:val="single" w:sz="4" w:space="0" w:color="auto"/>
              <w:right w:val="nil"/>
            </w:tcBorders>
            <w:shd w:val="clear" w:color="000000" w:fill="F2F2F2"/>
            <w:vAlign w:val="center"/>
            <w:hideMark/>
          </w:tcPr>
          <w:p w:rsidR="003E25F4" w:rsidRPr="00C67C91" w:rsidRDefault="004F79FD"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TOTAL,</w:t>
            </w:r>
            <w:r w:rsidR="003E25F4" w:rsidRPr="00C67C91">
              <w:rPr>
                <w:rFonts w:ascii="Arial" w:hAnsi="Arial" w:cs="Arial"/>
                <w:b/>
                <w:bCs/>
                <w:color w:val="000000"/>
                <w:sz w:val="18"/>
                <w:szCs w:val="18"/>
              </w:rPr>
              <w:t xml:space="preserve"> ACTIVO (A+B) </w:t>
            </w:r>
          </w:p>
        </w:tc>
        <w:tc>
          <w:tcPr>
            <w:tcW w:w="656" w:type="pct"/>
            <w:tcBorders>
              <w:top w:val="single" w:sz="4" w:space="0" w:color="auto"/>
              <w:left w:val="nil"/>
              <w:bottom w:val="single" w:sz="4" w:space="0" w:color="auto"/>
              <w:right w:val="nil"/>
            </w:tcBorders>
            <w:shd w:val="clear" w:color="000000" w:fill="F2F2F2"/>
            <w:vAlign w:val="center"/>
            <w:hideMark/>
          </w:tcPr>
          <w:p w:rsidR="003E25F4" w:rsidRPr="00C67C91" w:rsidRDefault="003E25F4" w:rsidP="00A02770">
            <w:pPr>
              <w:spacing w:after="0" w:line="240" w:lineRule="auto"/>
              <w:jc w:val="center"/>
              <w:rPr>
                <w:rFonts w:ascii="Arial" w:hAnsi="Arial" w:cs="Arial"/>
                <w:sz w:val="18"/>
                <w:szCs w:val="18"/>
              </w:rPr>
            </w:pPr>
            <w:r w:rsidRPr="00C67C91">
              <w:rPr>
                <w:rFonts w:ascii="Arial" w:hAnsi="Arial" w:cs="Arial"/>
                <w:sz w:val="18"/>
                <w:szCs w:val="18"/>
              </w:rPr>
              <w:t> </w:t>
            </w:r>
          </w:p>
        </w:tc>
        <w:tc>
          <w:tcPr>
            <w:tcW w:w="820" w:type="pct"/>
            <w:tcBorders>
              <w:top w:val="single" w:sz="4" w:space="0" w:color="auto"/>
              <w:left w:val="nil"/>
              <w:bottom w:val="single" w:sz="4" w:space="0" w:color="auto"/>
              <w:right w:val="nil"/>
            </w:tcBorders>
            <w:shd w:val="clear" w:color="000000" w:fill="F2F2F2"/>
            <w:vAlign w:val="center"/>
            <w:hideMark/>
          </w:tcPr>
          <w:p w:rsidR="003E25F4" w:rsidRPr="00C67C91" w:rsidRDefault="00D6164D"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27.496.043,29</w:t>
            </w:r>
          </w:p>
        </w:tc>
        <w:tc>
          <w:tcPr>
            <w:tcW w:w="778" w:type="pct"/>
            <w:tcBorders>
              <w:top w:val="single" w:sz="4" w:space="0" w:color="auto"/>
              <w:left w:val="nil"/>
              <w:bottom w:val="single" w:sz="4" w:space="0" w:color="auto"/>
              <w:right w:val="nil"/>
            </w:tcBorders>
            <w:shd w:val="clear" w:color="000000" w:fill="F2F2F2"/>
            <w:vAlign w:val="center"/>
            <w:hideMark/>
          </w:tcPr>
          <w:p w:rsidR="003E25F4" w:rsidRPr="00C67C91" w:rsidRDefault="003E25F4"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26.680.222,94</w:t>
            </w:r>
          </w:p>
        </w:tc>
      </w:tr>
    </w:tbl>
    <w:p w:rsidR="00203EFC" w:rsidRPr="00C67C91" w:rsidRDefault="00203EFC" w:rsidP="00203EFC">
      <w:pPr>
        <w:spacing w:after="0" w:line="240" w:lineRule="auto"/>
        <w:jc w:val="center"/>
        <w:rPr>
          <w:rFonts w:ascii="Arial" w:hAnsi="Arial" w:cs="Arial"/>
          <w:sz w:val="20"/>
          <w:szCs w:val="20"/>
        </w:rPr>
      </w:pPr>
    </w:p>
    <w:tbl>
      <w:tblPr>
        <w:tblW w:w="5000" w:type="pct"/>
        <w:tblCellMar>
          <w:left w:w="70" w:type="dxa"/>
          <w:right w:w="70" w:type="dxa"/>
        </w:tblCellMar>
        <w:tblLook w:val="04A0"/>
      </w:tblPr>
      <w:tblGrid>
        <w:gridCol w:w="4674"/>
        <w:gridCol w:w="999"/>
        <w:gridCol w:w="1655"/>
        <w:gridCol w:w="1317"/>
      </w:tblGrid>
      <w:tr w:rsidR="00254EDF" w:rsidRPr="00C67C91" w:rsidTr="00203EFC">
        <w:trPr>
          <w:trHeight w:val="397"/>
        </w:trPr>
        <w:tc>
          <w:tcPr>
            <w:tcW w:w="2703" w:type="pct"/>
            <w:tcBorders>
              <w:top w:val="single" w:sz="4" w:space="0" w:color="auto"/>
              <w:left w:val="nil"/>
              <w:bottom w:val="single" w:sz="4" w:space="0" w:color="auto"/>
              <w:right w:val="nil"/>
            </w:tcBorders>
            <w:shd w:val="clear" w:color="000000" w:fill="D9D9D9"/>
            <w:noWrap/>
            <w:vAlign w:val="bottom"/>
            <w:hideMark/>
          </w:tcPr>
          <w:p w:rsidR="00254EDF" w:rsidRPr="00C67C91" w:rsidRDefault="00254EDF"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PATRIMONIO NETO Y PASIVO</w:t>
            </w:r>
          </w:p>
        </w:tc>
        <w:tc>
          <w:tcPr>
            <w:tcW w:w="578" w:type="pct"/>
            <w:tcBorders>
              <w:top w:val="single" w:sz="4" w:space="0" w:color="auto"/>
              <w:left w:val="nil"/>
              <w:bottom w:val="single" w:sz="4" w:space="0" w:color="auto"/>
              <w:right w:val="nil"/>
            </w:tcBorders>
            <w:shd w:val="clear" w:color="000000" w:fill="D9D9D9"/>
            <w:vAlign w:val="bottom"/>
            <w:hideMark/>
          </w:tcPr>
          <w:p w:rsidR="00254EDF" w:rsidRPr="00C67C91" w:rsidRDefault="00254EDF"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 xml:space="preserve">Notas </w:t>
            </w:r>
            <w:r w:rsidR="00A625ED" w:rsidRPr="00C67C91">
              <w:rPr>
                <w:rFonts w:ascii="Arial" w:hAnsi="Arial" w:cs="Arial"/>
                <w:b/>
                <w:bCs/>
                <w:color w:val="000000"/>
                <w:sz w:val="18"/>
                <w:szCs w:val="18"/>
              </w:rPr>
              <w:t xml:space="preserve">de </w:t>
            </w:r>
            <w:r w:rsidRPr="00C67C91">
              <w:rPr>
                <w:rFonts w:ascii="Arial" w:hAnsi="Arial" w:cs="Arial"/>
                <w:b/>
                <w:bCs/>
                <w:color w:val="000000"/>
                <w:sz w:val="18"/>
                <w:szCs w:val="18"/>
              </w:rPr>
              <w:t>Memoria</w:t>
            </w:r>
          </w:p>
        </w:tc>
        <w:tc>
          <w:tcPr>
            <w:tcW w:w="957" w:type="pct"/>
            <w:tcBorders>
              <w:top w:val="single" w:sz="4" w:space="0" w:color="auto"/>
              <w:left w:val="nil"/>
              <w:bottom w:val="single" w:sz="4" w:space="0" w:color="auto"/>
              <w:right w:val="nil"/>
            </w:tcBorders>
            <w:shd w:val="clear" w:color="000000" w:fill="D9D9D9"/>
            <w:vAlign w:val="bottom"/>
            <w:hideMark/>
          </w:tcPr>
          <w:p w:rsidR="00254EDF" w:rsidRPr="00C67C91" w:rsidRDefault="00254EDF"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31/12/2020</w:t>
            </w:r>
          </w:p>
        </w:tc>
        <w:tc>
          <w:tcPr>
            <w:tcW w:w="762" w:type="pct"/>
            <w:tcBorders>
              <w:top w:val="single" w:sz="4" w:space="0" w:color="auto"/>
              <w:left w:val="nil"/>
              <w:bottom w:val="single" w:sz="4" w:space="0" w:color="auto"/>
              <w:right w:val="nil"/>
            </w:tcBorders>
            <w:shd w:val="clear" w:color="000000" w:fill="D9D9D9"/>
            <w:noWrap/>
            <w:vAlign w:val="bottom"/>
            <w:hideMark/>
          </w:tcPr>
          <w:p w:rsidR="00254EDF" w:rsidRPr="00C67C91" w:rsidRDefault="00254EDF"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31/12/2019</w:t>
            </w:r>
          </w:p>
        </w:tc>
      </w:tr>
      <w:tr w:rsidR="00575A5E" w:rsidRPr="00203EFC" w:rsidTr="00203EFC">
        <w:trPr>
          <w:trHeight w:val="113"/>
        </w:trPr>
        <w:tc>
          <w:tcPr>
            <w:tcW w:w="2703" w:type="pct"/>
            <w:tcBorders>
              <w:top w:val="nil"/>
              <w:left w:val="nil"/>
              <w:bottom w:val="single" w:sz="4" w:space="0" w:color="auto"/>
              <w:right w:val="nil"/>
            </w:tcBorders>
            <w:vAlign w:val="center"/>
          </w:tcPr>
          <w:p w:rsidR="00575A5E" w:rsidRPr="00203EFC" w:rsidRDefault="00575A5E" w:rsidP="00A02770">
            <w:pPr>
              <w:spacing w:after="0" w:line="240" w:lineRule="auto"/>
              <w:rPr>
                <w:rFonts w:ascii="Arial" w:hAnsi="Arial" w:cs="Arial"/>
                <w:b/>
                <w:bCs/>
                <w:color w:val="000000"/>
                <w:sz w:val="10"/>
                <w:szCs w:val="10"/>
              </w:rPr>
            </w:pPr>
          </w:p>
        </w:tc>
        <w:tc>
          <w:tcPr>
            <w:tcW w:w="578" w:type="pct"/>
            <w:tcBorders>
              <w:top w:val="nil"/>
              <w:left w:val="nil"/>
              <w:bottom w:val="single" w:sz="4" w:space="0" w:color="auto"/>
              <w:right w:val="nil"/>
            </w:tcBorders>
            <w:vAlign w:val="center"/>
          </w:tcPr>
          <w:p w:rsidR="00575A5E" w:rsidRPr="00203EFC" w:rsidRDefault="00575A5E" w:rsidP="00A02770">
            <w:pPr>
              <w:spacing w:after="0" w:line="240" w:lineRule="auto"/>
              <w:jc w:val="center"/>
              <w:rPr>
                <w:rFonts w:ascii="Arial" w:hAnsi="Arial" w:cs="Arial"/>
                <w:sz w:val="10"/>
                <w:szCs w:val="10"/>
              </w:rPr>
            </w:pPr>
          </w:p>
        </w:tc>
        <w:tc>
          <w:tcPr>
            <w:tcW w:w="957" w:type="pct"/>
            <w:tcBorders>
              <w:top w:val="nil"/>
              <w:left w:val="nil"/>
              <w:bottom w:val="single" w:sz="4" w:space="0" w:color="auto"/>
              <w:right w:val="nil"/>
            </w:tcBorders>
            <w:vAlign w:val="center"/>
          </w:tcPr>
          <w:p w:rsidR="00575A5E" w:rsidRPr="00203EFC" w:rsidRDefault="00575A5E" w:rsidP="00A02770">
            <w:pPr>
              <w:spacing w:after="0" w:line="240" w:lineRule="auto"/>
              <w:jc w:val="right"/>
              <w:rPr>
                <w:rFonts w:ascii="Arial" w:hAnsi="Arial" w:cs="Arial"/>
                <w:b/>
                <w:bCs/>
                <w:color w:val="000000"/>
                <w:sz w:val="10"/>
                <w:szCs w:val="10"/>
              </w:rPr>
            </w:pPr>
          </w:p>
        </w:tc>
        <w:tc>
          <w:tcPr>
            <w:tcW w:w="762" w:type="pct"/>
            <w:tcBorders>
              <w:top w:val="nil"/>
              <w:left w:val="nil"/>
              <w:bottom w:val="single" w:sz="4" w:space="0" w:color="auto"/>
              <w:right w:val="nil"/>
            </w:tcBorders>
            <w:vAlign w:val="center"/>
          </w:tcPr>
          <w:p w:rsidR="00575A5E" w:rsidRPr="00203EFC" w:rsidRDefault="00575A5E" w:rsidP="00A02770">
            <w:pPr>
              <w:spacing w:after="0" w:line="240" w:lineRule="auto"/>
              <w:jc w:val="right"/>
              <w:rPr>
                <w:rFonts w:ascii="Arial" w:hAnsi="Arial" w:cs="Arial"/>
                <w:b/>
                <w:bCs/>
                <w:color w:val="000000"/>
                <w:sz w:val="10"/>
                <w:szCs w:val="10"/>
              </w:rPr>
            </w:pPr>
          </w:p>
        </w:tc>
      </w:tr>
      <w:tr w:rsidR="00254EDF" w:rsidRPr="00C67C91" w:rsidTr="00203EFC">
        <w:trPr>
          <w:trHeight w:val="340"/>
        </w:trPr>
        <w:tc>
          <w:tcPr>
            <w:tcW w:w="2703" w:type="pct"/>
            <w:tcBorders>
              <w:top w:val="single" w:sz="4" w:space="0" w:color="auto"/>
              <w:left w:val="nil"/>
              <w:bottom w:val="single" w:sz="4" w:space="0" w:color="auto"/>
              <w:right w:val="nil"/>
            </w:tcBorders>
            <w:shd w:val="clear" w:color="000000" w:fill="F2F2F2"/>
            <w:vAlign w:val="center"/>
            <w:hideMark/>
          </w:tcPr>
          <w:p w:rsidR="00254EDF" w:rsidRPr="00C67C91" w:rsidRDefault="00254EDF"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A) PATRIMONIO NETO </w:t>
            </w:r>
          </w:p>
        </w:tc>
        <w:tc>
          <w:tcPr>
            <w:tcW w:w="578" w:type="pct"/>
            <w:tcBorders>
              <w:top w:val="single" w:sz="4" w:space="0" w:color="auto"/>
              <w:left w:val="nil"/>
              <w:bottom w:val="single" w:sz="4" w:space="0" w:color="auto"/>
              <w:right w:val="nil"/>
            </w:tcBorders>
            <w:shd w:val="clear" w:color="000000" w:fill="F2F2F2"/>
            <w:vAlign w:val="center"/>
            <w:hideMark/>
          </w:tcPr>
          <w:p w:rsidR="00254EDF" w:rsidRPr="00C67C91" w:rsidRDefault="00254EDF" w:rsidP="00A02770">
            <w:pPr>
              <w:spacing w:after="0" w:line="240" w:lineRule="auto"/>
              <w:jc w:val="center"/>
              <w:rPr>
                <w:rFonts w:ascii="Arial" w:hAnsi="Arial" w:cs="Arial"/>
                <w:sz w:val="18"/>
                <w:szCs w:val="18"/>
              </w:rPr>
            </w:pPr>
            <w:r w:rsidRPr="00C67C91">
              <w:rPr>
                <w:rFonts w:ascii="Arial" w:hAnsi="Arial" w:cs="Arial"/>
                <w:sz w:val="18"/>
                <w:szCs w:val="18"/>
              </w:rPr>
              <w:t> </w:t>
            </w:r>
          </w:p>
        </w:tc>
        <w:tc>
          <w:tcPr>
            <w:tcW w:w="957" w:type="pct"/>
            <w:tcBorders>
              <w:top w:val="single" w:sz="4" w:space="0" w:color="auto"/>
              <w:left w:val="nil"/>
              <w:bottom w:val="single" w:sz="4" w:space="0" w:color="auto"/>
              <w:right w:val="nil"/>
            </w:tcBorders>
            <w:shd w:val="clear" w:color="000000" w:fill="F2F2F2"/>
            <w:vAlign w:val="center"/>
            <w:hideMark/>
          </w:tcPr>
          <w:p w:rsidR="00254EDF" w:rsidRPr="00C67C91" w:rsidRDefault="00D6164D"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25.727.484,13</w:t>
            </w:r>
          </w:p>
        </w:tc>
        <w:tc>
          <w:tcPr>
            <w:tcW w:w="762" w:type="pct"/>
            <w:tcBorders>
              <w:top w:val="single" w:sz="4" w:space="0" w:color="auto"/>
              <w:left w:val="nil"/>
              <w:bottom w:val="single" w:sz="4" w:space="0" w:color="auto"/>
              <w:right w:val="nil"/>
            </w:tcBorders>
            <w:shd w:val="clear" w:color="000000" w:fill="F2F2F2"/>
            <w:vAlign w:val="center"/>
            <w:hideMark/>
          </w:tcPr>
          <w:p w:rsidR="00254EDF" w:rsidRPr="00C67C91" w:rsidRDefault="00254EDF"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25.768.577,26</w:t>
            </w:r>
          </w:p>
        </w:tc>
      </w:tr>
      <w:tr w:rsidR="00254EDF" w:rsidRPr="008C2F9C" w:rsidTr="008C2F9C">
        <w:trPr>
          <w:trHeight w:val="340"/>
        </w:trPr>
        <w:tc>
          <w:tcPr>
            <w:tcW w:w="2703" w:type="pct"/>
            <w:tcBorders>
              <w:top w:val="single" w:sz="4" w:space="0" w:color="auto"/>
              <w:left w:val="nil"/>
              <w:bottom w:val="nil"/>
              <w:right w:val="nil"/>
            </w:tcBorders>
            <w:vAlign w:val="center"/>
            <w:hideMark/>
          </w:tcPr>
          <w:p w:rsidR="00254EDF" w:rsidRPr="008C2F9C" w:rsidRDefault="00254EDF" w:rsidP="00A02770">
            <w:pPr>
              <w:spacing w:after="0" w:line="240" w:lineRule="auto"/>
              <w:rPr>
                <w:rFonts w:ascii="Arial" w:hAnsi="Arial" w:cs="Arial"/>
                <w:b/>
                <w:bCs/>
                <w:color w:val="000000"/>
                <w:sz w:val="18"/>
                <w:szCs w:val="18"/>
              </w:rPr>
            </w:pPr>
            <w:r w:rsidRPr="008C2F9C">
              <w:rPr>
                <w:rFonts w:ascii="Arial" w:hAnsi="Arial" w:cs="Arial"/>
                <w:b/>
                <w:bCs/>
                <w:color w:val="000000"/>
                <w:sz w:val="18"/>
                <w:szCs w:val="18"/>
              </w:rPr>
              <w:t xml:space="preserve">A-1) Fondos propios </w:t>
            </w:r>
          </w:p>
        </w:tc>
        <w:tc>
          <w:tcPr>
            <w:tcW w:w="578" w:type="pct"/>
            <w:tcBorders>
              <w:top w:val="single" w:sz="4" w:space="0" w:color="auto"/>
              <w:left w:val="nil"/>
              <w:bottom w:val="nil"/>
              <w:right w:val="nil"/>
            </w:tcBorders>
            <w:vAlign w:val="center"/>
            <w:hideMark/>
          </w:tcPr>
          <w:p w:rsidR="00254EDF" w:rsidRPr="008C2F9C" w:rsidRDefault="00254EDF" w:rsidP="008A1A4C">
            <w:pPr>
              <w:spacing w:after="0" w:line="240" w:lineRule="auto"/>
              <w:jc w:val="center"/>
              <w:rPr>
                <w:rFonts w:ascii="Arial" w:hAnsi="Arial" w:cs="Arial"/>
                <w:b/>
                <w:bCs/>
                <w:sz w:val="18"/>
                <w:szCs w:val="18"/>
              </w:rPr>
            </w:pPr>
          </w:p>
        </w:tc>
        <w:tc>
          <w:tcPr>
            <w:tcW w:w="957" w:type="pct"/>
            <w:tcBorders>
              <w:top w:val="single" w:sz="4" w:space="0" w:color="auto"/>
              <w:left w:val="nil"/>
              <w:bottom w:val="nil"/>
              <w:right w:val="nil"/>
            </w:tcBorders>
            <w:vAlign w:val="center"/>
            <w:hideMark/>
          </w:tcPr>
          <w:p w:rsidR="00254EDF" w:rsidRPr="008C2F9C" w:rsidRDefault="00254EDF" w:rsidP="00A02770">
            <w:pPr>
              <w:spacing w:after="0" w:line="240" w:lineRule="auto"/>
              <w:jc w:val="right"/>
              <w:rPr>
                <w:rFonts w:ascii="Arial" w:hAnsi="Arial" w:cs="Arial"/>
                <w:b/>
                <w:bCs/>
                <w:color w:val="000000"/>
                <w:sz w:val="18"/>
                <w:szCs w:val="18"/>
              </w:rPr>
            </w:pPr>
            <w:r w:rsidRPr="008C2F9C">
              <w:rPr>
                <w:rFonts w:ascii="Arial" w:hAnsi="Arial" w:cs="Arial"/>
                <w:b/>
                <w:bCs/>
                <w:color w:val="000000"/>
                <w:sz w:val="18"/>
                <w:szCs w:val="18"/>
              </w:rPr>
              <w:t>25.</w:t>
            </w:r>
            <w:r w:rsidR="00D6164D" w:rsidRPr="008C2F9C">
              <w:rPr>
                <w:rFonts w:ascii="Arial" w:hAnsi="Arial" w:cs="Arial"/>
                <w:b/>
                <w:bCs/>
                <w:color w:val="000000"/>
                <w:sz w:val="18"/>
                <w:szCs w:val="18"/>
              </w:rPr>
              <w:t>727.484,13</w:t>
            </w:r>
          </w:p>
        </w:tc>
        <w:tc>
          <w:tcPr>
            <w:tcW w:w="762" w:type="pct"/>
            <w:tcBorders>
              <w:top w:val="single" w:sz="4" w:space="0" w:color="auto"/>
              <w:left w:val="nil"/>
              <w:bottom w:val="nil"/>
              <w:right w:val="nil"/>
            </w:tcBorders>
            <w:vAlign w:val="center"/>
            <w:hideMark/>
          </w:tcPr>
          <w:p w:rsidR="00254EDF" w:rsidRPr="008C2F9C" w:rsidRDefault="00254EDF" w:rsidP="00A02770">
            <w:pPr>
              <w:spacing w:after="0" w:line="240" w:lineRule="auto"/>
              <w:jc w:val="right"/>
              <w:rPr>
                <w:rFonts w:ascii="Arial" w:hAnsi="Arial" w:cs="Arial"/>
                <w:b/>
                <w:bCs/>
                <w:color w:val="000000"/>
                <w:sz w:val="18"/>
                <w:szCs w:val="18"/>
              </w:rPr>
            </w:pPr>
            <w:r w:rsidRPr="008C2F9C">
              <w:rPr>
                <w:rFonts w:ascii="Arial" w:hAnsi="Arial" w:cs="Arial"/>
                <w:b/>
                <w:bCs/>
                <w:color w:val="000000"/>
                <w:sz w:val="18"/>
                <w:szCs w:val="18"/>
              </w:rPr>
              <w:t>25.768.577,26</w:t>
            </w:r>
          </w:p>
        </w:tc>
      </w:tr>
      <w:tr w:rsidR="00254EDF" w:rsidRPr="00C67C91" w:rsidTr="008C2F9C">
        <w:trPr>
          <w:trHeight w:val="340"/>
        </w:trPr>
        <w:tc>
          <w:tcPr>
            <w:tcW w:w="2703" w:type="pct"/>
            <w:tcBorders>
              <w:top w:val="nil"/>
              <w:left w:val="nil"/>
              <w:bottom w:val="nil"/>
              <w:right w:val="nil"/>
            </w:tcBorders>
            <w:vAlign w:val="center"/>
            <w:hideMark/>
          </w:tcPr>
          <w:p w:rsidR="00254EDF" w:rsidRPr="00C67C91" w:rsidRDefault="00254EDF"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I. Capital </w:t>
            </w:r>
          </w:p>
        </w:tc>
        <w:tc>
          <w:tcPr>
            <w:tcW w:w="578" w:type="pct"/>
            <w:tcBorders>
              <w:top w:val="nil"/>
              <w:left w:val="nil"/>
              <w:bottom w:val="nil"/>
              <w:right w:val="nil"/>
            </w:tcBorders>
            <w:vAlign w:val="center"/>
            <w:hideMark/>
          </w:tcPr>
          <w:p w:rsidR="00254EDF" w:rsidRPr="00C67C91" w:rsidRDefault="008A1A4C" w:rsidP="008A1A4C">
            <w:pPr>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957" w:type="pct"/>
            <w:tcBorders>
              <w:top w:val="nil"/>
              <w:left w:val="nil"/>
              <w:bottom w:val="nil"/>
              <w:right w:val="nil"/>
            </w:tcBorders>
            <w:vAlign w:val="center"/>
            <w:hideMark/>
          </w:tcPr>
          <w:p w:rsidR="00254EDF" w:rsidRPr="00C67C91" w:rsidRDefault="00254EDF"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1.003.000,00</w:t>
            </w:r>
          </w:p>
        </w:tc>
        <w:tc>
          <w:tcPr>
            <w:tcW w:w="762" w:type="pct"/>
            <w:tcBorders>
              <w:top w:val="nil"/>
              <w:left w:val="nil"/>
              <w:bottom w:val="nil"/>
              <w:right w:val="nil"/>
            </w:tcBorders>
            <w:vAlign w:val="center"/>
            <w:hideMark/>
          </w:tcPr>
          <w:p w:rsidR="00254EDF" w:rsidRPr="00C67C91" w:rsidRDefault="00254EDF"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1.003.000,00</w:t>
            </w:r>
          </w:p>
        </w:tc>
      </w:tr>
      <w:tr w:rsidR="00254EDF" w:rsidRPr="00C67C91" w:rsidTr="00203EFC">
        <w:trPr>
          <w:trHeight w:val="283"/>
        </w:trPr>
        <w:tc>
          <w:tcPr>
            <w:tcW w:w="2703" w:type="pct"/>
            <w:tcBorders>
              <w:top w:val="nil"/>
              <w:left w:val="nil"/>
              <w:bottom w:val="nil"/>
              <w:right w:val="nil"/>
            </w:tcBorders>
            <w:vAlign w:val="center"/>
            <w:hideMark/>
          </w:tcPr>
          <w:p w:rsidR="00254EDF" w:rsidRPr="00C67C91" w:rsidRDefault="00254EDF" w:rsidP="00A02770">
            <w:pPr>
              <w:spacing w:after="0" w:line="240" w:lineRule="auto"/>
              <w:rPr>
                <w:rFonts w:ascii="Arial" w:hAnsi="Arial" w:cs="Arial"/>
                <w:color w:val="000000"/>
                <w:sz w:val="18"/>
                <w:szCs w:val="18"/>
              </w:rPr>
            </w:pPr>
            <w:r w:rsidRPr="00C67C91">
              <w:rPr>
                <w:rFonts w:ascii="Arial" w:hAnsi="Arial" w:cs="Arial"/>
                <w:color w:val="000000"/>
                <w:sz w:val="18"/>
                <w:szCs w:val="18"/>
              </w:rPr>
              <w:t xml:space="preserve">1. Capital escriturado </w:t>
            </w:r>
          </w:p>
        </w:tc>
        <w:tc>
          <w:tcPr>
            <w:tcW w:w="578" w:type="pct"/>
            <w:tcBorders>
              <w:top w:val="nil"/>
              <w:left w:val="nil"/>
              <w:bottom w:val="nil"/>
              <w:right w:val="nil"/>
            </w:tcBorders>
            <w:vAlign w:val="center"/>
            <w:hideMark/>
          </w:tcPr>
          <w:p w:rsidR="00254EDF" w:rsidRPr="00C67C91" w:rsidRDefault="00254EDF" w:rsidP="008A1A4C">
            <w:pPr>
              <w:spacing w:after="0" w:line="240" w:lineRule="auto"/>
              <w:jc w:val="center"/>
              <w:rPr>
                <w:rFonts w:ascii="Arial" w:hAnsi="Arial" w:cs="Arial"/>
                <w:color w:val="000000"/>
                <w:sz w:val="18"/>
                <w:szCs w:val="18"/>
              </w:rPr>
            </w:pPr>
          </w:p>
        </w:tc>
        <w:tc>
          <w:tcPr>
            <w:tcW w:w="957" w:type="pct"/>
            <w:tcBorders>
              <w:top w:val="nil"/>
              <w:left w:val="nil"/>
              <w:bottom w:val="nil"/>
              <w:right w:val="nil"/>
            </w:tcBorders>
            <w:vAlign w:val="center"/>
            <w:hideMark/>
          </w:tcPr>
          <w:p w:rsidR="00254EDF" w:rsidRPr="00C67C91" w:rsidRDefault="00254EDF"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1.003.000,00</w:t>
            </w:r>
          </w:p>
        </w:tc>
        <w:tc>
          <w:tcPr>
            <w:tcW w:w="762" w:type="pct"/>
            <w:tcBorders>
              <w:top w:val="nil"/>
              <w:left w:val="nil"/>
              <w:bottom w:val="nil"/>
              <w:right w:val="nil"/>
            </w:tcBorders>
            <w:vAlign w:val="center"/>
            <w:hideMark/>
          </w:tcPr>
          <w:p w:rsidR="00254EDF" w:rsidRPr="00C67C91" w:rsidRDefault="00254EDF"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1.003.000,00</w:t>
            </w:r>
          </w:p>
        </w:tc>
      </w:tr>
      <w:tr w:rsidR="00254EDF" w:rsidRPr="00C67C91" w:rsidTr="008C2F9C">
        <w:trPr>
          <w:trHeight w:val="340"/>
        </w:trPr>
        <w:tc>
          <w:tcPr>
            <w:tcW w:w="2703" w:type="pct"/>
            <w:tcBorders>
              <w:top w:val="nil"/>
              <w:left w:val="nil"/>
              <w:bottom w:val="nil"/>
              <w:right w:val="nil"/>
            </w:tcBorders>
            <w:vAlign w:val="center"/>
            <w:hideMark/>
          </w:tcPr>
          <w:p w:rsidR="00254EDF" w:rsidRPr="00C67C91" w:rsidRDefault="00254EDF"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II. Prima de emisión </w:t>
            </w:r>
          </w:p>
        </w:tc>
        <w:tc>
          <w:tcPr>
            <w:tcW w:w="578" w:type="pct"/>
            <w:tcBorders>
              <w:top w:val="nil"/>
              <w:left w:val="nil"/>
              <w:bottom w:val="nil"/>
              <w:right w:val="nil"/>
            </w:tcBorders>
            <w:vAlign w:val="center"/>
            <w:hideMark/>
          </w:tcPr>
          <w:p w:rsidR="00254EDF" w:rsidRPr="00C67C91" w:rsidRDefault="00A70138" w:rsidP="008A1A4C">
            <w:pPr>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957" w:type="pct"/>
            <w:tcBorders>
              <w:top w:val="nil"/>
              <w:left w:val="nil"/>
              <w:bottom w:val="nil"/>
              <w:right w:val="nil"/>
            </w:tcBorders>
            <w:vAlign w:val="center"/>
            <w:hideMark/>
          </w:tcPr>
          <w:p w:rsidR="00254EDF" w:rsidRPr="00C67C91" w:rsidRDefault="00254EDF"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23.823.429,00</w:t>
            </w:r>
          </w:p>
        </w:tc>
        <w:tc>
          <w:tcPr>
            <w:tcW w:w="762" w:type="pct"/>
            <w:tcBorders>
              <w:top w:val="nil"/>
              <w:left w:val="nil"/>
              <w:bottom w:val="nil"/>
              <w:right w:val="nil"/>
            </w:tcBorders>
            <w:vAlign w:val="center"/>
            <w:hideMark/>
          </w:tcPr>
          <w:p w:rsidR="00254EDF" w:rsidRPr="00C67C91" w:rsidRDefault="00254EDF"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23.823.429,00</w:t>
            </w:r>
          </w:p>
        </w:tc>
      </w:tr>
      <w:tr w:rsidR="00254EDF" w:rsidRPr="00C67C91" w:rsidTr="008C2F9C">
        <w:trPr>
          <w:trHeight w:val="340"/>
        </w:trPr>
        <w:tc>
          <w:tcPr>
            <w:tcW w:w="2703" w:type="pct"/>
            <w:tcBorders>
              <w:top w:val="nil"/>
              <w:left w:val="nil"/>
              <w:bottom w:val="nil"/>
              <w:right w:val="nil"/>
            </w:tcBorders>
            <w:vAlign w:val="center"/>
            <w:hideMark/>
          </w:tcPr>
          <w:p w:rsidR="00254EDF" w:rsidRPr="00C67C91" w:rsidRDefault="00254EDF"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III. Reservas </w:t>
            </w:r>
          </w:p>
        </w:tc>
        <w:tc>
          <w:tcPr>
            <w:tcW w:w="578" w:type="pct"/>
            <w:tcBorders>
              <w:top w:val="nil"/>
              <w:left w:val="nil"/>
              <w:bottom w:val="nil"/>
              <w:right w:val="nil"/>
            </w:tcBorders>
            <w:vAlign w:val="center"/>
            <w:hideMark/>
          </w:tcPr>
          <w:p w:rsidR="00254EDF" w:rsidRPr="00C67C91" w:rsidRDefault="00254EDF" w:rsidP="008A1A4C">
            <w:pPr>
              <w:spacing w:after="0" w:line="240" w:lineRule="auto"/>
              <w:jc w:val="center"/>
              <w:rPr>
                <w:rFonts w:ascii="Arial" w:hAnsi="Arial" w:cs="Arial"/>
                <w:sz w:val="18"/>
                <w:szCs w:val="18"/>
              </w:rPr>
            </w:pPr>
            <w:r w:rsidRPr="00C67C91">
              <w:rPr>
                <w:rFonts w:ascii="Arial" w:hAnsi="Arial" w:cs="Arial"/>
                <w:sz w:val="18"/>
                <w:szCs w:val="18"/>
              </w:rPr>
              <w:t>7</w:t>
            </w:r>
          </w:p>
        </w:tc>
        <w:tc>
          <w:tcPr>
            <w:tcW w:w="957" w:type="pct"/>
            <w:tcBorders>
              <w:top w:val="nil"/>
              <w:left w:val="nil"/>
              <w:bottom w:val="nil"/>
              <w:right w:val="nil"/>
            </w:tcBorders>
            <w:vAlign w:val="center"/>
            <w:hideMark/>
          </w:tcPr>
          <w:p w:rsidR="00254EDF" w:rsidRPr="00C67C91" w:rsidRDefault="00254EDF"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942.148,26</w:t>
            </w:r>
          </w:p>
        </w:tc>
        <w:tc>
          <w:tcPr>
            <w:tcW w:w="762" w:type="pct"/>
            <w:tcBorders>
              <w:top w:val="nil"/>
              <w:left w:val="nil"/>
              <w:bottom w:val="nil"/>
              <w:right w:val="nil"/>
            </w:tcBorders>
            <w:vAlign w:val="center"/>
            <w:hideMark/>
          </w:tcPr>
          <w:p w:rsidR="00254EDF" w:rsidRPr="00C67C91" w:rsidRDefault="00254EDF"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756.925,64</w:t>
            </w:r>
          </w:p>
        </w:tc>
      </w:tr>
      <w:tr w:rsidR="00254EDF" w:rsidRPr="00C67C91" w:rsidTr="00203EFC">
        <w:trPr>
          <w:trHeight w:val="283"/>
        </w:trPr>
        <w:tc>
          <w:tcPr>
            <w:tcW w:w="2703" w:type="pct"/>
            <w:tcBorders>
              <w:top w:val="nil"/>
              <w:left w:val="nil"/>
              <w:bottom w:val="nil"/>
              <w:right w:val="nil"/>
            </w:tcBorders>
            <w:vAlign w:val="center"/>
            <w:hideMark/>
          </w:tcPr>
          <w:p w:rsidR="00254EDF" w:rsidRPr="00C67C91" w:rsidRDefault="00254EDF" w:rsidP="00A02770">
            <w:pPr>
              <w:spacing w:after="0" w:line="240" w:lineRule="auto"/>
              <w:rPr>
                <w:rFonts w:ascii="Arial" w:hAnsi="Arial" w:cs="Arial"/>
                <w:color w:val="000000"/>
                <w:sz w:val="18"/>
                <w:szCs w:val="18"/>
              </w:rPr>
            </w:pPr>
            <w:r w:rsidRPr="00C67C91">
              <w:rPr>
                <w:rFonts w:ascii="Arial" w:hAnsi="Arial" w:cs="Arial"/>
                <w:color w:val="000000"/>
                <w:sz w:val="18"/>
                <w:szCs w:val="18"/>
              </w:rPr>
              <w:t xml:space="preserve">1. Legal y Estatutaria </w:t>
            </w:r>
          </w:p>
        </w:tc>
        <w:tc>
          <w:tcPr>
            <w:tcW w:w="578" w:type="pct"/>
            <w:tcBorders>
              <w:top w:val="nil"/>
              <w:left w:val="nil"/>
              <w:bottom w:val="nil"/>
              <w:right w:val="nil"/>
            </w:tcBorders>
            <w:vAlign w:val="center"/>
            <w:hideMark/>
          </w:tcPr>
          <w:p w:rsidR="00254EDF" w:rsidRPr="00C67C91" w:rsidRDefault="00254EDF" w:rsidP="008A1A4C">
            <w:pPr>
              <w:spacing w:after="0" w:line="240" w:lineRule="auto"/>
              <w:jc w:val="center"/>
              <w:rPr>
                <w:rFonts w:ascii="Arial" w:hAnsi="Arial" w:cs="Arial"/>
                <w:color w:val="000000"/>
                <w:sz w:val="18"/>
                <w:szCs w:val="18"/>
              </w:rPr>
            </w:pPr>
          </w:p>
        </w:tc>
        <w:tc>
          <w:tcPr>
            <w:tcW w:w="957" w:type="pct"/>
            <w:tcBorders>
              <w:top w:val="nil"/>
              <w:left w:val="nil"/>
              <w:bottom w:val="nil"/>
              <w:right w:val="nil"/>
            </w:tcBorders>
            <w:vAlign w:val="center"/>
            <w:hideMark/>
          </w:tcPr>
          <w:p w:rsidR="00254EDF" w:rsidRPr="00C67C91" w:rsidRDefault="00254EDF"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942.148,26</w:t>
            </w:r>
          </w:p>
        </w:tc>
        <w:tc>
          <w:tcPr>
            <w:tcW w:w="762" w:type="pct"/>
            <w:tcBorders>
              <w:top w:val="nil"/>
              <w:left w:val="nil"/>
              <w:bottom w:val="nil"/>
              <w:right w:val="nil"/>
            </w:tcBorders>
            <w:vAlign w:val="center"/>
            <w:hideMark/>
          </w:tcPr>
          <w:p w:rsidR="00254EDF" w:rsidRPr="00C67C91" w:rsidRDefault="00254EDF"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756.925,64</w:t>
            </w:r>
          </w:p>
        </w:tc>
      </w:tr>
      <w:tr w:rsidR="00254EDF" w:rsidRPr="00C67C91" w:rsidTr="008C2F9C">
        <w:trPr>
          <w:trHeight w:val="340"/>
        </w:trPr>
        <w:tc>
          <w:tcPr>
            <w:tcW w:w="2703" w:type="pct"/>
            <w:tcBorders>
              <w:top w:val="nil"/>
              <w:left w:val="nil"/>
              <w:bottom w:val="nil"/>
              <w:right w:val="nil"/>
            </w:tcBorders>
            <w:vAlign w:val="center"/>
            <w:hideMark/>
          </w:tcPr>
          <w:p w:rsidR="00254EDF" w:rsidRPr="00C67C91" w:rsidRDefault="00254EDF"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VII. Resultado del ejercicio </w:t>
            </w:r>
          </w:p>
        </w:tc>
        <w:tc>
          <w:tcPr>
            <w:tcW w:w="578" w:type="pct"/>
            <w:tcBorders>
              <w:top w:val="nil"/>
              <w:left w:val="nil"/>
              <w:bottom w:val="nil"/>
              <w:right w:val="nil"/>
            </w:tcBorders>
            <w:vAlign w:val="center"/>
            <w:hideMark/>
          </w:tcPr>
          <w:p w:rsidR="00254EDF" w:rsidRPr="00C67C91" w:rsidRDefault="00254EDF" w:rsidP="008A1A4C">
            <w:pPr>
              <w:spacing w:after="0" w:line="240" w:lineRule="auto"/>
              <w:jc w:val="center"/>
              <w:rPr>
                <w:rFonts w:ascii="Arial" w:hAnsi="Arial" w:cs="Arial"/>
                <w:sz w:val="18"/>
                <w:szCs w:val="18"/>
              </w:rPr>
            </w:pPr>
            <w:r w:rsidRPr="00C67C91">
              <w:rPr>
                <w:rFonts w:ascii="Arial" w:hAnsi="Arial" w:cs="Arial"/>
                <w:sz w:val="18"/>
                <w:szCs w:val="18"/>
              </w:rPr>
              <w:t>7</w:t>
            </w:r>
          </w:p>
        </w:tc>
        <w:tc>
          <w:tcPr>
            <w:tcW w:w="957" w:type="pct"/>
            <w:tcBorders>
              <w:top w:val="nil"/>
              <w:left w:val="nil"/>
              <w:bottom w:val="nil"/>
              <w:right w:val="nil"/>
            </w:tcBorders>
            <w:vAlign w:val="center"/>
            <w:hideMark/>
          </w:tcPr>
          <w:p w:rsidR="00254EDF" w:rsidRPr="00C67C91" w:rsidRDefault="0002716D" w:rsidP="0002716D">
            <w:pPr>
              <w:spacing w:after="0" w:line="240" w:lineRule="auto"/>
              <w:jc w:val="right"/>
              <w:rPr>
                <w:rFonts w:ascii="Arial" w:hAnsi="Arial" w:cs="Arial"/>
                <w:b/>
                <w:color w:val="000000"/>
                <w:sz w:val="18"/>
                <w:szCs w:val="18"/>
              </w:rPr>
            </w:pPr>
            <w:r>
              <w:rPr>
                <w:rFonts w:ascii="Arial" w:hAnsi="Arial" w:cs="Arial"/>
                <w:b/>
                <w:color w:val="000000"/>
                <w:sz w:val="18"/>
                <w:szCs w:val="18"/>
              </w:rPr>
              <w:t>-</w:t>
            </w:r>
            <w:r w:rsidR="00D6164D" w:rsidRPr="00C67C91">
              <w:rPr>
                <w:rFonts w:ascii="Arial" w:hAnsi="Arial" w:cs="Arial"/>
                <w:b/>
                <w:color w:val="000000"/>
                <w:sz w:val="18"/>
                <w:szCs w:val="18"/>
              </w:rPr>
              <w:t>41.093,13</w:t>
            </w:r>
          </w:p>
        </w:tc>
        <w:tc>
          <w:tcPr>
            <w:tcW w:w="762" w:type="pct"/>
            <w:tcBorders>
              <w:top w:val="nil"/>
              <w:left w:val="nil"/>
              <w:bottom w:val="nil"/>
              <w:right w:val="nil"/>
            </w:tcBorders>
            <w:vAlign w:val="center"/>
            <w:hideMark/>
          </w:tcPr>
          <w:p w:rsidR="00254EDF" w:rsidRPr="00C67C91" w:rsidRDefault="00254EDF"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185.222,62</w:t>
            </w:r>
          </w:p>
        </w:tc>
      </w:tr>
      <w:tr w:rsidR="00254EDF" w:rsidRPr="00C67C91" w:rsidTr="00203EFC">
        <w:trPr>
          <w:trHeight w:val="340"/>
        </w:trPr>
        <w:tc>
          <w:tcPr>
            <w:tcW w:w="2703" w:type="pct"/>
            <w:tcBorders>
              <w:top w:val="single" w:sz="4" w:space="0" w:color="auto"/>
              <w:left w:val="nil"/>
              <w:bottom w:val="single" w:sz="4" w:space="0" w:color="auto"/>
              <w:right w:val="nil"/>
            </w:tcBorders>
            <w:shd w:val="clear" w:color="000000" w:fill="F2F2F2"/>
            <w:vAlign w:val="center"/>
            <w:hideMark/>
          </w:tcPr>
          <w:p w:rsidR="00254EDF" w:rsidRPr="00C67C91" w:rsidRDefault="00254EDF"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C) PASIVO CORRIENTE </w:t>
            </w:r>
          </w:p>
        </w:tc>
        <w:tc>
          <w:tcPr>
            <w:tcW w:w="578" w:type="pct"/>
            <w:tcBorders>
              <w:top w:val="single" w:sz="4" w:space="0" w:color="auto"/>
              <w:left w:val="nil"/>
              <w:bottom w:val="single" w:sz="4" w:space="0" w:color="auto"/>
              <w:right w:val="nil"/>
            </w:tcBorders>
            <w:shd w:val="clear" w:color="000000" w:fill="F2F2F2"/>
            <w:vAlign w:val="center"/>
            <w:hideMark/>
          </w:tcPr>
          <w:p w:rsidR="00254EDF" w:rsidRPr="00C67C91" w:rsidRDefault="00254EDF" w:rsidP="00A02770">
            <w:pPr>
              <w:spacing w:after="0" w:line="240" w:lineRule="auto"/>
              <w:jc w:val="center"/>
              <w:rPr>
                <w:rFonts w:ascii="Arial" w:hAnsi="Arial" w:cs="Arial"/>
                <w:b/>
                <w:bCs/>
                <w:sz w:val="18"/>
                <w:szCs w:val="18"/>
              </w:rPr>
            </w:pPr>
            <w:r w:rsidRPr="00C67C91">
              <w:rPr>
                <w:rFonts w:ascii="Arial" w:hAnsi="Arial" w:cs="Arial"/>
                <w:b/>
                <w:bCs/>
                <w:sz w:val="18"/>
                <w:szCs w:val="18"/>
              </w:rPr>
              <w:t> </w:t>
            </w:r>
          </w:p>
        </w:tc>
        <w:tc>
          <w:tcPr>
            <w:tcW w:w="957" w:type="pct"/>
            <w:tcBorders>
              <w:top w:val="single" w:sz="4" w:space="0" w:color="auto"/>
              <w:left w:val="nil"/>
              <w:bottom w:val="single" w:sz="4" w:space="0" w:color="auto"/>
              <w:right w:val="nil"/>
            </w:tcBorders>
            <w:shd w:val="clear" w:color="000000" w:fill="F2F2F2"/>
            <w:vAlign w:val="center"/>
            <w:hideMark/>
          </w:tcPr>
          <w:p w:rsidR="00254EDF" w:rsidRPr="00C67C91" w:rsidRDefault="00D6164D"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1.768.559,26</w:t>
            </w:r>
          </w:p>
        </w:tc>
        <w:tc>
          <w:tcPr>
            <w:tcW w:w="762" w:type="pct"/>
            <w:tcBorders>
              <w:top w:val="single" w:sz="4" w:space="0" w:color="auto"/>
              <w:left w:val="nil"/>
              <w:bottom w:val="single" w:sz="4" w:space="0" w:color="auto"/>
              <w:right w:val="nil"/>
            </w:tcBorders>
            <w:shd w:val="clear" w:color="000000" w:fill="F2F2F2"/>
            <w:vAlign w:val="center"/>
            <w:hideMark/>
          </w:tcPr>
          <w:p w:rsidR="00254EDF" w:rsidRPr="00C67C91" w:rsidRDefault="0059775A"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911.645,68</w:t>
            </w:r>
          </w:p>
        </w:tc>
      </w:tr>
      <w:tr w:rsidR="00254EDF" w:rsidRPr="00C67C91" w:rsidTr="008C2F9C">
        <w:trPr>
          <w:trHeight w:val="340"/>
        </w:trPr>
        <w:tc>
          <w:tcPr>
            <w:tcW w:w="2703" w:type="pct"/>
            <w:tcBorders>
              <w:top w:val="single" w:sz="4" w:space="0" w:color="auto"/>
              <w:left w:val="nil"/>
              <w:bottom w:val="nil"/>
              <w:right w:val="nil"/>
            </w:tcBorders>
            <w:vAlign w:val="center"/>
            <w:hideMark/>
          </w:tcPr>
          <w:p w:rsidR="00254EDF" w:rsidRPr="00C67C91" w:rsidRDefault="00254EDF"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IV. Deudas con </w:t>
            </w:r>
            <w:r w:rsidR="00575A5E" w:rsidRPr="00C67C91">
              <w:rPr>
                <w:rFonts w:ascii="Arial" w:hAnsi="Arial" w:cs="Arial"/>
                <w:b/>
                <w:bCs/>
                <w:color w:val="000000"/>
                <w:sz w:val="18"/>
                <w:szCs w:val="18"/>
              </w:rPr>
              <w:t>Eª</w:t>
            </w:r>
            <w:r w:rsidRPr="00C67C91">
              <w:rPr>
                <w:rFonts w:ascii="Arial" w:hAnsi="Arial" w:cs="Arial"/>
                <w:b/>
                <w:bCs/>
                <w:color w:val="000000"/>
                <w:sz w:val="18"/>
                <w:szCs w:val="18"/>
              </w:rPr>
              <w:t xml:space="preserve"> del grupo y asociadas a </w:t>
            </w:r>
            <w:r w:rsidR="00575A5E" w:rsidRPr="00C67C91">
              <w:rPr>
                <w:rFonts w:ascii="Arial" w:hAnsi="Arial" w:cs="Arial"/>
                <w:b/>
                <w:bCs/>
                <w:color w:val="000000"/>
                <w:sz w:val="18"/>
                <w:szCs w:val="18"/>
              </w:rPr>
              <w:t>c/p</w:t>
            </w:r>
          </w:p>
        </w:tc>
        <w:tc>
          <w:tcPr>
            <w:tcW w:w="578" w:type="pct"/>
            <w:tcBorders>
              <w:top w:val="single" w:sz="4" w:space="0" w:color="auto"/>
              <w:left w:val="nil"/>
              <w:bottom w:val="nil"/>
              <w:right w:val="nil"/>
            </w:tcBorders>
            <w:vAlign w:val="center"/>
            <w:hideMark/>
          </w:tcPr>
          <w:p w:rsidR="00254EDF" w:rsidRPr="00C67C91" w:rsidRDefault="00254EDF" w:rsidP="00A02770">
            <w:pPr>
              <w:spacing w:after="0" w:line="240" w:lineRule="auto"/>
              <w:jc w:val="center"/>
              <w:rPr>
                <w:rFonts w:ascii="Arial" w:hAnsi="Arial" w:cs="Arial"/>
                <w:sz w:val="18"/>
                <w:szCs w:val="18"/>
              </w:rPr>
            </w:pPr>
            <w:r w:rsidRPr="00C67C91">
              <w:rPr>
                <w:rFonts w:ascii="Arial" w:hAnsi="Arial" w:cs="Arial"/>
                <w:sz w:val="18"/>
                <w:szCs w:val="18"/>
              </w:rPr>
              <w:t>6 y 9</w:t>
            </w:r>
          </w:p>
        </w:tc>
        <w:tc>
          <w:tcPr>
            <w:tcW w:w="957" w:type="pct"/>
            <w:tcBorders>
              <w:top w:val="single" w:sz="4" w:space="0" w:color="auto"/>
              <w:left w:val="nil"/>
              <w:bottom w:val="nil"/>
              <w:right w:val="nil"/>
            </w:tcBorders>
            <w:vAlign w:val="center"/>
            <w:hideMark/>
          </w:tcPr>
          <w:p w:rsidR="00254EDF" w:rsidRPr="00C67C91" w:rsidRDefault="00254EDF"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67.693,21</w:t>
            </w:r>
          </w:p>
        </w:tc>
        <w:tc>
          <w:tcPr>
            <w:tcW w:w="762" w:type="pct"/>
            <w:tcBorders>
              <w:top w:val="single" w:sz="4" w:space="0" w:color="auto"/>
              <w:left w:val="nil"/>
              <w:bottom w:val="nil"/>
              <w:right w:val="nil"/>
            </w:tcBorders>
            <w:vAlign w:val="center"/>
            <w:hideMark/>
          </w:tcPr>
          <w:p w:rsidR="00254EDF" w:rsidRPr="00C67C91" w:rsidRDefault="00254EDF"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67.693,21</w:t>
            </w:r>
          </w:p>
        </w:tc>
      </w:tr>
      <w:tr w:rsidR="00254EDF" w:rsidRPr="00C67C91" w:rsidTr="008C2F9C">
        <w:trPr>
          <w:trHeight w:val="340"/>
        </w:trPr>
        <w:tc>
          <w:tcPr>
            <w:tcW w:w="2703" w:type="pct"/>
            <w:tcBorders>
              <w:top w:val="nil"/>
              <w:left w:val="nil"/>
              <w:bottom w:val="nil"/>
              <w:right w:val="nil"/>
            </w:tcBorders>
            <w:vAlign w:val="center"/>
            <w:hideMark/>
          </w:tcPr>
          <w:p w:rsidR="00254EDF" w:rsidRPr="00C67C91" w:rsidRDefault="00254EDF"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V. Acreedores comerciales y otras cuentas a pagar </w:t>
            </w:r>
          </w:p>
        </w:tc>
        <w:tc>
          <w:tcPr>
            <w:tcW w:w="578" w:type="pct"/>
            <w:tcBorders>
              <w:top w:val="nil"/>
              <w:left w:val="nil"/>
              <w:bottom w:val="nil"/>
              <w:right w:val="nil"/>
            </w:tcBorders>
            <w:vAlign w:val="center"/>
            <w:hideMark/>
          </w:tcPr>
          <w:p w:rsidR="00254EDF" w:rsidRPr="00C67C91" w:rsidRDefault="00254EDF" w:rsidP="00A02770">
            <w:pPr>
              <w:spacing w:after="0" w:line="240" w:lineRule="auto"/>
              <w:rPr>
                <w:rFonts w:ascii="Arial" w:hAnsi="Arial" w:cs="Arial"/>
                <w:color w:val="000000"/>
                <w:sz w:val="18"/>
                <w:szCs w:val="18"/>
              </w:rPr>
            </w:pPr>
          </w:p>
        </w:tc>
        <w:tc>
          <w:tcPr>
            <w:tcW w:w="957" w:type="pct"/>
            <w:tcBorders>
              <w:top w:val="nil"/>
              <w:left w:val="nil"/>
              <w:bottom w:val="nil"/>
              <w:right w:val="nil"/>
            </w:tcBorders>
            <w:vAlign w:val="center"/>
            <w:hideMark/>
          </w:tcPr>
          <w:p w:rsidR="00254EDF" w:rsidRPr="00C67C91" w:rsidRDefault="00D6164D"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1.700.866,05</w:t>
            </w:r>
          </w:p>
        </w:tc>
        <w:tc>
          <w:tcPr>
            <w:tcW w:w="762" w:type="pct"/>
            <w:tcBorders>
              <w:top w:val="nil"/>
              <w:left w:val="nil"/>
              <w:bottom w:val="nil"/>
              <w:right w:val="nil"/>
            </w:tcBorders>
            <w:vAlign w:val="center"/>
            <w:hideMark/>
          </w:tcPr>
          <w:p w:rsidR="00254EDF" w:rsidRPr="00C67C91" w:rsidRDefault="00254EDF" w:rsidP="00A02770">
            <w:pPr>
              <w:spacing w:after="0" w:line="240" w:lineRule="auto"/>
              <w:jc w:val="right"/>
              <w:rPr>
                <w:rFonts w:ascii="Arial" w:hAnsi="Arial" w:cs="Arial"/>
                <w:b/>
                <w:color w:val="000000"/>
                <w:sz w:val="18"/>
                <w:szCs w:val="18"/>
              </w:rPr>
            </w:pPr>
            <w:r w:rsidRPr="00C67C91">
              <w:rPr>
                <w:rFonts w:ascii="Arial" w:hAnsi="Arial" w:cs="Arial"/>
                <w:b/>
                <w:color w:val="000000"/>
                <w:sz w:val="18"/>
                <w:szCs w:val="18"/>
              </w:rPr>
              <w:t>843.952,47</w:t>
            </w:r>
          </w:p>
        </w:tc>
      </w:tr>
      <w:tr w:rsidR="00254EDF" w:rsidRPr="00C67C91" w:rsidTr="00203EFC">
        <w:trPr>
          <w:trHeight w:val="283"/>
        </w:trPr>
        <w:tc>
          <w:tcPr>
            <w:tcW w:w="2703" w:type="pct"/>
            <w:tcBorders>
              <w:top w:val="nil"/>
              <w:left w:val="nil"/>
              <w:bottom w:val="nil"/>
              <w:right w:val="nil"/>
            </w:tcBorders>
            <w:vAlign w:val="center"/>
            <w:hideMark/>
          </w:tcPr>
          <w:p w:rsidR="00254EDF" w:rsidRPr="00C67C91" w:rsidRDefault="00254EDF" w:rsidP="00A02770">
            <w:pPr>
              <w:spacing w:after="0" w:line="240" w:lineRule="auto"/>
              <w:rPr>
                <w:rFonts w:ascii="Arial" w:hAnsi="Arial" w:cs="Arial"/>
                <w:color w:val="000000"/>
                <w:sz w:val="18"/>
                <w:szCs w:val="18"/>
              </w:rPr>
            </w:pPr>
            <w:r w:rsidRPr="00C67C91">
              <w:rPr>
                <w:rFonts w:ascii="Arial" w:hAnsi="Arial" w:cs="Arial"/>
                <w:color w:val="000000"/>
                <w:sz w:val="18"/>
                <w:szCs w:val="18"/>
              </w:rPr>
              <w:t xml:space="preserve">2. Otros acreedores </w:t>
            </w:r>
          </w:p>
        </w:tc>
        <w:tc>
          <w:tcPr>
            <w:tcW w:w="578" w:type="pct"/>
            <w:tcBorders>
              <w:top w:val="nil"/>
              <w:left w:val="nil"/>
              <w:bottom w:val="nil"/>
              <w:right w:val="nil"/>
            </w:tcBorders>
            <w:vAlign w:val="center"/>
            <w:hideMark/>
          </w:tcPr>
          <w:p w:rsidR="00254EDF" w:rsidRPr="00C67C91" w:rsidRDefault="00254EDF" w:rsidP="00A02770">
            <w:pPr>
              <w:spacing w:after="0" w:line="240" w:lineRule="auto"/>
              <w:jc w:val="center"/>
              <w:rPr>
                <w:rFonts w:ascii="Arial" w:hAnsi="Arial" w:cs="Arial"/>
                <w:sz w:val="18"/>
                <w:szCs w:val="18"/>
              </w:rPr>
            </w:pPr>
            <w:r w:rsidRPr="00C67C91">
              <w:rPr>
                <w:rFonts w:ascii="Arial" w:hAnsi="Arial" w:cs="Arial"/>
                <w:sz w:val="18"/>
                <w:szCs w:val="18"/>
              </w:rPr>
              <w:t>6</w:t>
            </w:r>
            <w:r w:rsidR="008A1A4C">
              <w:rPr>
                <w:rFonts w:ascii="Arial" w:hAnsi="Arial" w:cs="Arial"/>
                <w:sz w:val="18"/>
                <w:szCs w:val="18"/>
              </w:rPr>
              <w:t>, 8</w:t>
            </w:r>
            <w:r w:rsidRPr="00C67C91">
              <w:rPr>
                <w:rFonts w:ascii="Arial" w:hAnsi="Arial" w:cs="Arial"/>
                <w:sz w:val="18"/>
                <w:szCs w:val="18"/>
              </w:rPr>
              <w:t xml:space="preserve"> y 9</w:t>
            </w:r>
          </w:p>
        </w:tc>
        <w:tc>
          <w:tcPr>
            <w:tcW w:w="957" w:type="pct"/>
            <w:tcBorders>
              <w:top w:val="nil"/>
              <w:left w:val="nil"/>
              <w:bottom w:val="nil"/>
              <w:right w:val="nil"/>
            </w:tcBorders>
            <w:vAlign w:val="center"/>
            <w:hideMark/>
          </w:tcPr>
          <w:p w:rsidR="00254EDF" w:rsidRPr="00C67C91" w:rsidRDefault="00D6164D"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1.700.866,05</w:t>
            </w:r>
          </w:p>
        </w:tc>
        <w:tc>
          <w:tcPr>
            <w:tcW w:w="762" w:type="pct"/>
            <w:tcBorders>
              <w:top w:val="nil"/>
              <w:left w:val="nil"/>
              <w:bottom w:val="nil"/>
              <w:right w:val="nil"/>
            </w:tcBorders>
            <w:vAlign w:val="center"/>
            <w:hideMark/>
          </w:tcPr>
          <w:p w:rsidR="00254EDF" w:rsidRPr="00C67C91" w:rsidRDefault="00254EDF"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843.952,47</w:t>
            </w:r>
          </w:p>
        </w:tc>
      </w:tr>
      <w:tr w:rsidR="00254EDF" w:rsidRPr="00C67C91" w:rsidTr="00203EFC">
        <w:trPr>
          <w:trHeight w:val="340"/>
        </w:trPr>
        <w:tc>
          <w:tcPr>
            <w:tcW w:w="2703" w:type="pct"/>
            <w:tcBorders>
              <w:top w:val="single" w:sz="4" w:space="0" w:color="auto"/>
              <w:left w:val="nil"/>
              <w:bottom w:val="single" w:sz="4" w:space="0" w:color="auto"/>
              <w:right w:val="nil"/>
            </w:tcBorders>
            <w:shd w:val="clear" w:color="auto" w:fill="F2F2F2" w:themeFill="background1" w:themeFillShade="F2"/>
            <w:vAlign w:val="center"/>
            <w:hideMark/>
          </w:tcPr>
          <w:p w:rsidR="00254EDF" w:rsidRPr="00C67C91" w:rsidRDefault="004F79FD"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TOTAL,</w:t>
            </w:r>
            <w:r w:rsidR="00254EDF" w:rsidRPr="00C67C91">
              <w:rPr>
                <w:rFonts w:ascii="Arial" w:hAnsi="Arial" w:cs="Arial"/>
                <w:b/>
                <w:bCs/>
                <w:color w:val="000000"/>
                <w:sz w:val="18"/>
                <w:szCs w:val="18"/>
              </w:rPr>
              <w:t xml:space="preserve"> </w:t>
            </w:r>
            <w:r w:rsidR="00575A5E" w:rsidRPr="00C67C91">
              <w:rPr>
                <w:rFonts w:ascii="Arial" w:hAnsi="Arial" w:cs="Arial"/>
                <w:b/>
                <w:bCs/>
                <w:color w:val="000000"/>
                <w:sz w:val="18"/>
                <w:szCs w:val="18"/>
              </w:rPr>
              <w:t>PATRIMONIO NETO Y PASIVO</w:t>
            </w:r>
            <w:r w:rsidR="00254EDF" w:rsidRPr="00C67C91">
              <w:rPr>
                <w:rFonts w:ascii="Arial" w:hAnsi="Arial" w:cs="Arial"/>
                <w:b/>
                <w:bCs/>
                <w:color w:val="000000"/>
                <w:sz w:val="18"/>
                <w:szCs w:val="18"/>
              </w:rPr>
              <w:t xml:space="preserve"> </w:t>
            </w:r>
          </w:p>
        </w:tc>
        <w:tc>
          <w:tcPr>
            <w:tcW w:w="578" w:type="pct"/>
            <w:tcBorders>
              <w:top w:val="single" w:sz="4" w:space="0" w:color="auto"/>
              <w:left w:val="nil"/>
              <w:bottom w:val="single" w:sz="4" w:space="0" w:color="auto"/>
              <w:right w:val="nil"/>
            </w:tcBorders>
            <w:shd w:val="clear" w:color="auto" w:fill="F2F2F2" w:themeFill="background1" w:themeFillShade="F2"/>
            <w:vAlign w:val="center"/>
            <w:hideMark/>
          </w:tcPr>
          <w:p w:rsidR="00254EDF" w:rsidRPr="00C67C91" w:rsidRDefault="00254EDF" w:rsidP="00A02770">
            <w:pPr>
              <w:spacing w:after="0" w:line="240" w:lineRule="auto"/>
              <w:jc w:val="center"/>
              <w:rPr>
                <w:rFonts w:ascii="Arial" w:hAnsi="Arial" w:cs="Arial"/>
                <w:b/>
                <w:bCs/>
                <w:sz w:val="18"/>
                <w:szCs w:val="18"/>
              </w:rPr>
            </w:pPr>
            <w:r w:rsidRPr="00C67C91">
              <w:rPr>
                <w:rFonts w:ascii="Arial" w:hAnsi="Arial" w:cs="Arial"/>
                <w:b/>
                <w:bCs/>
                <w:sz w:val="18"/>
                <w:szCs w:val="18"/>
              </w:rPr>
              <w:t> </w:t>
            </w:r>
          </w:p>
        </w:tc>
        <w:tc>
          <w:tcPr>
            <w:tcW w:w="957" w:type="pct"/>
            <w:tcBorders>
              <w:top w:val="single" w:sz="4" w:space="0" w:color="auto"/>
              <w:left w:val="nil"/>
              <w:bottom w:val="single" w:sz="4" w:space="0" w:color="auto"/>
              <w:right w:val="nil"/>
            </w:tcBorders>
            <w:shd w:val="clear" w:color="auto" w:fill="F2F2F2" w:themeFill="background1" w:themeFillShade="F2"/>
            <w:vAlign w:val="center"/>
            <w:hideMark/>
          </w:tcPr>
          <w:p w:rsidR="00254EDF" w:rsidRPr="00C67C91" w:rsidRDefault="00D6164D"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27.496.043,39</w:t>
            </w:r>
          </w:p>
        </w:tc>
        <w:tc>
          <w:tcPr>
            <w:tcW w:w="762" w:type="pct"/>
            <w:tcBorders>
              <w:top w:val="single" w:sz="4" w:space="0" w:color="auto"/>
              <w:left w:val="nil"/>
              <w:bottom w:val="single" w:sz="4" w:space="0" w:color="auto"/>
              <w:right w:val="nil"/>
            </w:tcBorders>
            <w:shd w:val="clear" w:color="auto" w:fill="F2F2F2" w:themeFill="background1" w:themeFillShade="F2"/>
            <w:vAlign w:val="center"/>
            <w:hideMark/>
          </w:tcPr>
          <w:p w:rsidR="00254EDF" w:rsidRPr="00C67C91" w:rsidRDefault="0059775A"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26.680.222,94</w:t>
            </w:r>
          </w:p>
        </w:tc>
      </w:tr>
    </w:tbl>
    <w:p w:rsidR="00254EDF" w:rsidRPr="00C67C91" w:rsidRDefault="00254EDF" w:rsidP="00A02770">
      <w:pPr>
        <w:spacing w:before="120" w:line="240" w:lineRule="auto"/>
        <w:jc w:val="center"/>
        <w:rPr>
          <w:rFonts w:ascii="Arial" w:hAnsi="Arial" w:cs="Arial"/>
          <w:i/>
          <w:iCs/>
          <w:sz w:val="18"/>
          <w:szCs w:val="18"/>
        </w:rPr>
      </w:pPr>
      <w:r w:rsidRPr="00C67C91">
        <w:rPr>
          <w:rFonts w:ascii="Arial" w:hAnsi="Arial" w:cs="Arial"/>
          <w:i/>
          <w:iCs/>
          <w:sz w:val="18"/>
          <w:szCs w:val="18"/>
        </w:rPr>
        <w:t>Las Cuentas Anuales Abreviadas de la Sociedad, que forman una sola unidad, comprenden estas Cuentas de Pérdidas y Ganancias Abreviadas, los Balances de Situación Abreviados y la Memoria Anual Abreviada adjunta que consta de 13 Notas.</w:t>
      </w:r>
    </w:p>
    <w:p w:rsidR="00275DF2" w:rsidRPr="00C67C91" w:rsidRDefault="00171A08" w:rsidP="00A02770">
      <w:pPr>
        <w:spacing w:before="120" w:after="120" w:line="240" w:lineRule="auto"/>
        <w:jc w:val="center"/>
        <w:rPr>
          <w:rFonts w:ascii="Arial" w:hAnsi="Arial" w:cs="Arial"/>
          <w:b/>
          <w:sz w:val="20"/>
          <w:szCs w:val="20"/>
        </w:rPr>
      </w:pPr>
      <w:r w:rsidRPr="00C67C91">
        <w:rPr>
          <w:rFonts w:ascii="Arial" w:hAnsi="Arial" w:cs="Arial"/>
          <w:sz w:val="20"/>
          <w:szCs w:val="20"/>
        </w:rPr>
        <w:br w:type="page"/>
      </w:r>
      <w:proofErr w:type="spellStart"/>
      <w:r w:rsidR="00855841" w:rsidRPr="00C67C91">
        <w:rPr>
          <w:rFonts w:ascii="Arial" w:hAnsi="Arial" w:cs="Arial"/>
          <w:b/>
          <w:bCs/>
          <w:sz w:val="20"/>
          <w:szCs w:val="20"/>
        </w:rPr>
        <w:lastRenderedPageBreak/>
        <w:t>C</w:t>
      </w:r>
      <w:r w:rsidR="00275DF2" w:rsidRPr="00C67C91">
        <w:rPr>
          <w:rFonts w:ascii="Arial" w:hAnsi="Arial" w:cs="Arial"/>
          <w:b/>
          <w:sz w:val="20"/>
          <w:szCs w:val="20"/>
        </w:rPr>
        <w:t>analink</w:t>
      </w:r>
      <w:proofErr w:type="spellEnd"/>
      <w:r w:rsidR="00275DF2" w:rsidRPr="00C67C91">
        <w:rPr>
          <w:rFonts w:ascii="Arial" w:hAnsi="Arial" w:cs="Arial"/>
          <w:b/>
          <w:sz w:val="20"/>
          <w:szCs w:val="20"/>
        </w:rPr>
        <w:t xml:space="preserve"> África, S.L.U.</w:t>
      </w:r>
    </w:p>
    <w:p w:rsidR="00275DF2" w:rsidRPr="00C67C91" w:rsidRDefault="00275DF2" w:rsidP="00A02770">
      <w:pPr>
        <w:spacing w:before="120" w:after="0" w:line="240" w:lineRule="auto"/>
        <w:jc w:val="center"/>
        <w:rPr>
          <w:rFonts w:ascii="Arial" w:hAnsi="Arial" w:cs="Arial"/>
          <w:b/>
          <w:bCs/>
          <w:sz w:val="20"/>
          <w:szCs w:val="20"/>
          <w:u w:val="single"/>
        </w:rPr>
      </w:pPr>
      <w:r w:rsidRPr="00C67C91">
        <w:rPr>
          <w:rFonts w:ascii="Arial" w:hAnsi="Arial" w:cs="Arial"/>
          <w:b/>
          <w:bCs/>
          <w:sz w:val="20"/>
          <w:szCs w:val="20"/>
          <w:u w:val="single"/>
        </w:rPr>
        <w:t>CUENTAS DE PÉRDIDAS Y GANANCIAS ABREVIADA CORRESPONDIENTE</w:t>
      </w:r>
    </w:p>
    <w:p w:rsidR="00FA495B" w:rsidRPr="00C67C91" w:rsidRDefault="00275DF2" w:rsidP="00A02770">
      <w:pPr>
        <w:spacing w:before="120" w:after="0" w:line="240" w:lineRule="auto"/>
        <w:jc w:val="center"/>
        <w:rPr>
          <w:rFonts w:ascii="Arial" w:hAnsi="Arial" w:cs="Arial"/>
          <w:b/>
          <w:bCs/>
          <w:sz w:val="20"/>
          <w:szCs w:val="20"/>
          <w:u w:val="single"/>
        </w:rPr>
      </w:pPr>
      <w:r w:rsidRPr="00C67C91">
        <w:rPr>
          <w:rFonts w:ascii="Arial" w:hAnsi="Arial" w:cs="Arial"/>
          <w:b/>
          <w:bCs/>
          <w:sz w:val="20"/>
          <w:szCs w:val="20"/>
          <w:u w:val="single"/>
        </w:rPr>
        <w:t xml:space="preserve">A LOS EJERCICIOS TERMINADOS EL 31 DE DICIEMBRE DE </w:t>
      </w:r>
      <w:r w:rsidR="00FA495B" w:rsidRPr="00C67C91">
        <w:rPr>
          <w:rFonts w:ascii="Arial" w:hAnsi="Arial" w:cs="Arial"/>
          <w:b/>
          <w:bCs/>
          <w:sz w:val="20"/>
          <w:szCs w:val="20"/>
          <w:u w:val="single"/>
        </w:rPr>
        <w:t>2020</w:t>
      </w:r>
      <w:r w:rsidRPr="00C67C91">
        <w:rPr>
          <w:rFonts w:ascii="Arial" w:hAnsi="Arial" w:cs="Arial"/>
          <w:b/>
          <w:bCs/>
          <w:sz w:val="20"/>
          <w:szCs w:val="20"/>
          <w:u w:val="single"/>
        </w:rPr>
        <w:t xml:space="preserve"> Y 201</w:t>
      </w:r>
      <w:r w:rsidR="00FA495B" w:rsidRPr="00C67C91">
        <w:rPr>
          <w:rFonts w:ascii="Arial" w:hAnsi="Arial" w:cs="Arial"/>
          <w:b/>
          <w:bCs/>
          <w:sz w:val="20"/>
          <w:szCs w:val="20"/>
          <w:u w:val="single"/>
        </w:rPr>
        <w:t>9</w:t>
      </w:r>
    </w:p>
    <w:p w:rsidR="00855841" w:rsidRPr="00C67C91" w:rsidRDefault="00275DF2" w:rsidP="00A02770">
      <w:pPr>
        <w:spacing w:before="120" w:line="240" w:lineRule="auto"/>
        <w:jc w:val="center"/>
        <w:rPr>
          <w:rFonts w:ascii="Arial" w:hAnsi="Arial" w:cs="Arial"/>
          <w:sz w:val="20"/>
          <w:szCs w:val="20"/>
        </w:rPr>
      </w:pPr>
      <w:r w:rsidRPr="00C67C91">
        <w:rPr>
          <w:rFonts w:ascii="Arial" w:hAnsi="Arial" w:cs="Arial"/>
          <w:sz w:val="20"/>
          <w:szCs w:val="20"/>
        </w:rPr>
        <w:t>(Expresado</w:t>
      </w:r>
      <w:r w:rsidR="00855841" w:rsidRPr="00C67C91">
        <w:rPr>
          <w:rFonts w:ascii="Arial" w:hAnsi="Arial" w:cs="Arial"/>
          <w:sz w:val="20"/>
          <w:szCs w:val="20"/>
        </w:rPr>
        <w:t>s en euros)</w:t>
      </w:r>
    </w:p>
    <w:tbl>
      <w:tblPr>
        <w:tblW w:w="5000" w:type="pct"/>
        <w:tblCellMar>
          <w:left w:w="70" w:type="dxa"/>
          <w:right w:w="70" w:type="dxa"/>
        </w:tblCellMar>
        <w:tblLook w:val="04A0"/>
      </w:tblPr>
      <w:tblGrid>
        <w:gridCol w:w="3975"/>
        <w:gridCol w:w="1420"/>
        <w:gridCol w:w="1625"/>
        <w:gridCol w:w="1625"/>
      </w:tblGrid>
      <w:tr w:rsidR="00855841" w:rsidRPr="00C67C91" w:rsidTr="00203EFC">
        <w:trPr>
          <w:trHeight w:val="510"/>
        </w:trPr>
        <w:tc>
          <w:tcPr>
            <w:tcW w:w="2299" w:type="pct"/>
            <w:tcBorders>
              <w:top w:val="nil"/>
              <w:left w:val="nil"/>
              <w:bottom w:val="single" w:sz="4" w:space="0" w:color="auto"/>
              <w:right w:val="nil"/>
            </w:tcBorders>
            <w:shd w:val="clear" w:color="000000" w:fill="D9D9D9"/>
            <w:vAlign w:val="bottom"/>
            <w:hideMark/>
          </w:tcPr>
          <w:p w:rsidR="00855841" w:rsidRPr="00C67C91" w:rsidRDefault="00855841"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PÉRDIDAS Y GANANCIAS</w:t>
            </w:r>
          </w:p>
        </w:tc>
        <w:tc>
          <w:tcPr>
            <w:tcW w:w="821" w:type="pct"/>
            <w:tcBorders>
              <w:top w:val="nil"/>
              <w:left w:val="nil"/>
              <w:bottom w:val="single" w:sz="4" w:space="0" w:color="auto"/>
              <w:right w:val="nil"/>
            </w:tcBorders>
            <w:shd w:val="clear" w:color="000000" w:fill="D9D9D9"/>
            <w:vAlign w:val="bottom"/>
            <w:hideMark/>
          </w:tcPr>
          <w:p w:rsidR="00855841" w:rsidRPr="00C67C91" w:rsidRDefault="00855841"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Notas de Memoria</w:t>
            </w:r>
          </w:p>
        </w:tc>
        <w:tc>
          <w:tcPr>
            <w:tcW w:w="940" w:type="pct"/>
            <w:tcBorders>
              <w:top w:val="nil"/>
              <w:left w:val="nil"/>
              <w:bottom w:val="single" w:sz="4" w:space="0" w:color="auto"/>
              <w:right w:val="nil"/>
            </w:tcBorders>
            <w:shd w:val="clear" w:color="000000" w:fill="D9D9D9"/>
            <w:vAlign w:val="bottom"/>
            <w:hideMark/>
          </w:tcPr>
          <w:p w:rsidR="00855841" w:rsidRPr="00C67C91" w:rsidRDefault="00855841"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2020</w:t>
            </w:r>
          </w:p>
        </w:tc>
        <w:tc>
          <w:tcPr>
            <w:tcW w:w="940" w:type="pct"/>
            <w:tcBorders>
              <w:top w:val="nil"/>
              <w:left w:val="nil"/>
              <w:bottom w:val="single" w:sz="4" w:space="0" w:color="auto"/>
              <w:right w:val="nil"/>
            </w:tcBorders>
            <w:shd w:val="clear" w:color="000000" w:fill="D9D9D9"/>
            <w:noWrap/>
            <w:vAlign w:val="bottom"/>
            <w:hideMark/>
          </w:tcPr>
          <w:p w:rsidR="00855841" w:rsidRPr="00C67C91" w:rsidRDefault="00855841"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2019</w:t>
            </w:r>
          </w:p>
        </w:tc>
      </w:tr>
      <w:tr w:rsidR="00855841" w:rsidRPr="00203EFC" w:rsidTr="008C2F9C">
        <w:trPr>
          <w:trHeight w:val="340"/>
        </w:trPr>
        <w:tc>
          <w:tcPr>
            <w:tcW w:w="2299" w:type="pct"/>
            <w:tcBorders>
              <w:top w:val="nil"/>
              <w:left w:val="nil"/>
              <w:bottom w:val="nil"/>
              <w:right w:val="nil"/>
            </w:tcBorders>
            <w:vAlign w:val="center"/>
            <w:hideMark/>
          </w:tcPr>
          <w:p w:rsidR="00855841" w:rsidRPr="00203EFC" w:rsidRDefault="00855841" w:rsidP="00A02770">
            <w:pPr>
              <w:spacing w:after="0" w:line="240" w:lineRule="auto"/>
              <w:rPr>
                <w:rFonts w:ascii="Arial" w:hAnsi="Arial" w:cs="Arial"/>
                <w:b/>
                <w:bCs/>
                <w:color w:val="000000"/>
                <w:sz w:val="18"/>
                <w:szCs w:val="18"/>
              </w:rPr>
            </w:pPr>
            <w:r w:rsidRPr="00203EFC">
              <w:rPr>
                <w:rFonts w:ascii="Arial" w:hAnsi="Arial" w:cs="Arial"/>
                <w:b/>
                <w:bCs/>
                <w:color w:val="000000"/>
                <w:sz w:val="18"/>
                <w:szCs w:val="18"/>
              </w:rPr>
              <w:t xml:space="preserve">1. Importe neto de la cifra de negocios </w:t>
            </w:r>
          </w:p>
        </w:tc>
        <w:tc>
          <w:tcPr>
            <w:tcW w:w="821" w:type="pct"/>
            <w:tcBorders>
              <w:top w:val="nil"/>
              <w:left w:val="nil"/>
              <w:bottom w:val="nil"/>
              <w:right w:val="nil"/>
            </w:tcBorders>
            <w:vAlign w:val="center"/>
            <w:hideMark/>
          </w:tcPr>
          <w:p w:rsidR="00855841" w:rsidRPr="00203EFC" w:rsidRDefault="00855841" w:rsidP="00A02770">
            <w:pPr>
              <w:spacing w:after="0" w:line="240" w:lineRule="auto"/>
              <w:jc w:val="center"/>
              <w:rPr>
                <w:rFonts w:ascii="Arial" w:hAnsi="Arial" w:cs="Arial"/>
                <w:b/>
                <w:bCs/>
                <w:color w:val="000000"/>
                <w:sz w:val="18"/>
                <w:szCs w:val="18"/>
              </w:rPr>
            </w:pPr>
            <w:r w:rsidRPr="00203EFC">
              <w:rPr>
                <w:rFonts w:ascii="Arial" w:hAnsi="Arial" w:cs="Arial"/>
                <w:b/>
                <w:bCs/>
                <w:color w:val="000000"/>
                <w:sz w:val="18"/>
                <w:szCs w:val="18"/>
              </w:rPr>
              <w:t>10</w:t>
            </w:r>
          </w:p>
        </w:tc>
        <w:tc>
          <w:tcPr>
            <w:tcW w:w="940" w:type="pct"/>
            <w:tcBorders>
              <w:top w:val="nil"/>
              <w:left w:val="nil"/>
              <w:bottom w:val="nil"/>
              <w:right w:val="nil"/>
            </w:tcBorders>
            <w:vAlign w:val="center"/>
            <w:hideMark/>
          </w:tcPr>
          <w:p w:rsidR="00855841" w:rsidRPr="00203EFC" w:rsidRDefault="00855841" w:rsidP="00A02770">
            <w:pPr>
              <w:spacing w:after="0" w:line="240" w:lineRule="auto"/>
              <w:jc w:val="right"/>
              <w:rPr>
                <w:rFonts w:ascii="Arial" w:hAnsi="Arial" w:cs="Arial"/>
                <w:b/>
                <w:bCs/>
                <w:color w:val="000000"/>
                <w:sz w:val="18"/>
                <w:szCs w:val="18"/>
              </w:rPr>
            </w:pPr>
            <w:r w:rsidRPr="00203EFC">
              <w:rPr>
                <w:rFonts w:ascii="Arial" w:hAnsi="Arial" w:cs="Arial"/>
                <w:b/>
                <w:bCs/>
                <w:color w:val="000000"/>
                <w:sz w:val="18"/>
                <w:szCs w:val="18"/>
              </w:rPr>
              <w:t>1.671.816,12</w:t>
            </w:r>
          </w:p>
        </w:tc>
        <w:tc>
          <w:tcPr>
            <w:tcW w:w="940" w:type="pct"/>
            <w:tcBorders>
              <w:top w:val="nil"/>
              <w:left w:val="nil"/>
              <w:bottom w:val="nil"/>
              <w:right w:val="nil"/>
            </w:tcBorders>
            <w:noWrap/>
            <w:vAlign w:val="center"/>
            <w:hideMark/>
          </w:tcPr>
          <w:p w:rsidR="00855841" w:rsidRPr="00203EFC" w:rsidRDefault="00855841" w:rsidP="00A02770">
            <w:pPr>
              <w:spacing w:after="0" w:line="240" w:lineRule="auto"/>
              <w:jc w:val="right"/>
              <w:rPr>
                <w:rFonts w:ascii="Arial" w:hAnsi="Arial" w:cs="Arial"/>
                <w:b/>
                <w:bCs/>
                <w:color w:val="000000"/>
                <w:sz w:val="18"/>
                <w:szCs w:val="18"/>
              </w:rPr>
            </w:pPr>
            <w:r w:rsidRPr="00203EFC">
              <w:rPr>
                <w:rFonts w:ascii="Arial" w:hAnsi="Arial" w:cs="Arial"/>
                <w:b/>
                <w:bCs/>
                <w:color w:val="000000"/>
                <w:sz w:val="18"/>
                <w:szCs w:val="18"/>
              </w:rPr>
              <w:t>1.734.285,98</w:t>
            </w:r>
          </w:p>
        </w:tc>
      </w:tr>
      <w:tr w:rsidR="00855841" w:rsidRPr="00203EFC" w:rsidTr="008C2F9C">
        <w:trPr>
          <w:trHeight w:val="340"/>
        </w:trPr>
        <w:tc>
          <w:tcPr>
            <w:tcW w:w="2299" w:type="pct"/>
            <w:tcBorders>
              <w:top w:val="nil"/>
              <w:left w:val="nil"/>
              <w:bottom w:val="nil"/>
              <w:right w:val="nil"/>
            </w:tcBorders>
            <w:vAlign w:val="center"/>
            <w:hideMark/>
          </w:tcPr>
          <w:p w:rsidR="00855841" w:rsidRPr="00203EFC" w:rsidRDefault="00855841" w:rsidP="00A02770">
            <w:pPr>
              <w:spacing w:after="0" w:line="240" w:lineRule="auto"/>
              <w:rPr>
                <w:rFonts w:ascii="Arial" w:hAnsi="Arial" w:cs="Arial"/>
                <w:b/>
                <w:bCs/>
                <w:color w:val="000000"/>
                <w:sz w:val="18"/>
                <w:szCs w:val="18"/>
              </w:rPr>
            </w:pPr>
            <w:r w:rsidRPr="00203EFC">
              <w:rPr>
                <w:rFonts w:ascii="Arial" w:hAnsi="Arial" w:cs="Arial"/>
                <w:b/>
                <w:bCs/>
                <w:color w:val="000000"/>
                <w:sz w:val="18"/>
                <w:szCs w:val="18"/>
              </w:rPr>
              <w:t xml:space="preserve">5. Otros ingresos de explotación </w:t>
            </w:r>
          </w:p>
        </w:tc>
        <w:tc>
          <w:tcPr>
            <w:tcW w:w="821" w:type="pct"/>
            <w:tcBorders>
              <w:top w:val="nil"/>
              <w:left w:val="nil"/>
              <w:bottom w:val="nil"/>
              <w:right w:val="nil"/>
            </w:tcBorders>
            <w:vAlign w:val="center"/>
            <w:hideMark/>
          </w:tcPr>
          <w:p w:rsidR="00855841" w:rsidRPr="00203EFC" w:rsidRDefault="00855841" w:rsidP="00A02770">
            <w:pPr>
              <w:spacing w:after="0" w:line="240" w:lineRule="auto"/>
              <w:jc w:val="center"/>
              <w:rPr>
                <w:rFonts w:ascii="Arial" w:hAnsi="Arial" w:cs="Arial"/>
                <w:b/>
                <w:bCs/>
                <w:color w:val="000000"/>
                <w:sz w:val="18"/>
                <w:szCs w:val="18"/>
              </w:rPr>
            </w:pPr>
          </w:p>
        </w:tc>
        <w:tc>
          <w:tcPr>
            <w:tcW w:w="940" w:type="pct"/>
            <w:tcBorders>
              <w:top w:val="nil"/>
              <w:left w:val="nil"/>
              <w:bottom w:val="nil"/>
              <w:right w:val="nil"/>
            </w:tcBorders>
            <w:vAlign w:val="center"/>
            <w:hideMark/>
          </w:tcPr>
          <w:p w:rsidR="00855841" w:rsidRPr="00203EFC" w:rsidRDefault="00855841" w:rsidP="00A02770">
            <w:pPr>
              <w:spacing w:after="0" w:line="240" w:lineRule="auto"/>
              <w:jc w:val="right"/>
              <w:rPr>
                <w:rFonts w:ascii="Arial" w:hAnsi="Arial" w:cs="Arial"/>
                <w:b/>
                <w:bCs/>
                <w:sz w:val="18"/>
                <w:szCs w:val="18"/>
              </w:rPr>
            </w:pPr>
            <w:r w:rsidRPr="00203EFC">
              <w:rPr>
                <w:rFonts w:ascii="Arial" w:hAnsi="Arial" w:cs="Arial"/>
                <w:b/>
                <w:bCs/>
                <w:sz w:val="18"/>
                <w:szCs w:val="18"/>
              </w:rPr>
              <w:t>23.375,22</w:t>
            </w:r>
          </w:p>
        </w:tc>
        <w:tc>
          <w:tcPr>
            <w:tcW w:w="940" w:type="pct"/>
            <w:tcBorders>
              <w:top w:val="nil"/>
              <w:left w:val="nil"/>
              <w:bottom w:val="nil"/>
              <w:right w:val="nil"/>
            </w:tcBorders>
            <w:noWrap/>
            <w:vAlign w:val="center"/>
            <w:hideMark/>
          </w:tcPr>
          <w:p w:rsidR="00855841" w:rsidRPr="00203EFC" w:rsidRDefault="00855841" w:rsidP="00A02770">
            <w:pPr>
              <w:spacing w:after="0" w:line="240" w:lineRule="auto"/>
              <w:jc w:val="right"/>
              <w:rPr>
                <w:rFonts w:ascii="Arial" w:hAnsi="Arial" w:cs="Arial"/>
                <w:b/>
                <w:bCs/>
                <w:color w:val="000000"/>
                <w:sz w:val="18"/>
                <w:szCs w:val="18"/>
              </w:rPr>
            </w:pPr>
            <w:r w:rsidRPr="00203EFC">
              <w:rPr>
                <w:rFonts w:ascii="Arial" w:hAnsi="Arial" w:cs="Arial"/>
                <w:b/>
                <w:bCs/>
                <w:color w:val="000000"/>
                <w:sz w:val="18"/>
                <w:szCs w:val="18"/>
              </w:rPr>
              <w:t>185.329,52</w:t>
            </w:r>
          </w:p>
        </w:tc>
      </w:tr>
      <w:tr w:rsidR="00855841" w:rsidRPr="00203EFC" w:rsidTr="008C2F9C">
        <w:trPr>
          <w:trHeight w:val="340"/>
        </w:trPr>
        <w:tc>
          <w:tcPr>
            <w:tcW w:w="2299" w:type="pct"/>
            <w:tcBorders>
              <w:top w:val="nil"/>
              <w:left w:val="nil"/>
              <w:bottom w:val="nil"/>
              <w:right w:val="nil"/>
            </w:tcBorders>
            <w:vAlign w:val="center"/>
            <w:hideMark/>
          </w:tcPr>
          <w:p w:rsidR="00855841" w:rsidRPr="00203EFC" w:rsidRDefault="00855841" w:rsidP="00A02770">
            <w:pPr>
              <w:spacing w:after="0" w:line="240" w:lineRule="auto"/>
              <w:rPr>
                <w:rFonts w:ascii="Arial" w:hAnsi="Arial" w:cs="Arial"/>
                <w:b/>
                <w:bCs/>
                <w:color w:val="000000"/>
                <w:sz w:val="18"/>
                <w:szCs w:val="18"/>
              </w:rPr>
            </w:pPr>
            <w:r w:rsidRPr="00203EFC">
              <w:rPr>
                <w:rFonts w:ascii="Arial" w:hAnsi="Arial" w:cs="Arial"/>
                <w:b/>
                <w:bCs/>
                <w:color w:val="000000"/>
                <w:sz w:val="18"/>
                <w:szCs w:val="18"/>
              </w:rPr>
              <w:t xml:space="preserve">7. Otros gastos de explotación </w:t>
            </w:r>
          </w:p>
        </w:tc>
        <w:tc>
          <w:tcPr>
            <w:tcW w:w="821" w:type="pct"/>
            <w:tcBorders>
              <w:top w:val="nil"/>
              <w:left w:val="nil"/>
              <w:bottom w:val="nil"/>
              <w:right w:val="nil"/>
            </w:tcBorders>
            <w:vAlign w:val="center"/>
            <w:hideMark/>
          </w:tcPr>
          <w:p w:rsidR="00855841" w:rsidRPr="00203EFC" w:rsidRDefault="00855841" w:rsidP="00A02770">
            <w:pPr>
              <w:spacing w:after="0" w:line="240" w:lineRule="auto"/>
              <w:jc w:val="center"/>
              <w:rPr>
                <w:rFonts w:ascii="Arial" w:hAnsi="Arial" w:cs="Arial"/>
                <w:b/>
                <w:bCs/>
                <w:color w:val="000000"/>
                <w:sz w:val="18"/>
                <w:szCs w:val="18"/>
              </w:rPr>
            </w:pPr>
            <w:r w:rsidRPr="00203EFC">
              <w:rPr>
                <w:rFonts w:ascii="Arial" w:hAnsi="Arial" w:cs="Arial"/>
                <w:b/>
                <w:bCs/>
                <w:color w:val="000000"/>
                <w:sz w:val="18"/>
                <w:szCs w:val="18"/>
              </w:rPr>
              <w:t>10</w:t>
            </w:r>
          </w:p>
        </w:tc>
        <w:tc>
          <w:tcPr>
            <w:tcW w:w="940" w:type="pct"/>
            <w:tcBorders>
              <w:top w:val="nil"/>
              <w:left w:val="nil"/>
              <w:bottom w:val="nil"/>
              <w:right w:val="nil"/>
            </w:tcBorders>
            <w:vAlign w:val="center"/>
            <w:hideMark/>
          </w:tcPr>
          <w:p w:rsidR="00855841" w:rsidRPr="00203EFC" w:rsidRDefault="00342CF0" w:rsidP="00342CF0">
            <w:pPr>
              <w:spacing w:after="0" w:line="240" w:lineRule="auto"/>
              <w:jc w:val="right"/>
              <w:rPr>
                <w:rFonts w:ascii="Arial" w:hAnsi="Arial" w:cs="Arial"/>
                <w:b/>
                <w:bCs/>
                <w:color w:val="000000"/>
                <w:sz w:val="18"/>
                <w:szCs w:val="18"/>
              </w:rPr>
            </w:pPr>
            <w:r>
              <w:rPr>
                <w:rFonts w:ascii="Arial" w:hAnsi="Arial" w:cs="Arial"/>
                <w:b/>
                <w:bCs/>
                <w:color w:val="000000"/>
                <w:sz w:val="18"/>
                <w:szCs w:val="18"/>
              </w:rPr>
              <w:t>-</w:t>
            </w:r>
            <w:r w:rsidR="00D6164D" w:rsidRPr="00203EFC">
              <w:rPr>
                <w:rFonts w:ascii="Arial" w:hAnsi="Arial" w:cs="Arial"/>
                <w:b/>
                <w:bCs/>
                <w:color w:val="000000"/>
                <w:sz w:val="18"/>
                <w:szCs w:val="18"/>
              </w:rPr>
              <w:t>911.009,62</w:t>
            </w:r>
          </w:p>
        </w:tc>
        <w:tc>
          <w:tcPr>
            <w:tcW w:w="940" w:type="pct"/>
            <w:tcBorders>
              <w:top w:val="nil"/>
              <w:left w:val="nil"/>
              <w:bottom w:val="nil"/>
              <w:right w:val="nil"/>
            </w:tcBorders>
            <w:noWrap/>
            <w:vAlign w:val="center"/>
            <w:hideMark/>
          </w:tcPr>
          <w:p w:rsidR="00855841" w:rsidRPr="00203EFC" w:rsidRDefault="00342CF0" w:rsidP="00A02770">
            <w:pPr>
              <w:spacing w:after="0" w:line="240" w:lineRule="auto"/>
              <w:jc w:val="right"/>
              <w:rPr>
                <w:rFonts w:ascii="Arial" w:hAnsi="Arial" w:cs="Arial"/>
                <w:b/>
                <w:bCs/>
                <w:color w:val="000000"/>
                <w:sz w:val="18"/>
                <w:szCs w:val="18"/>
              </w:rPr>
            </w:pPr>
            <w:r>
              <w:rPr>
                <w:rFonts w:ascii="Arial" w:hAnsi="Arial" w:cs="Arial"/>
                <w:b/>
                <w:bCs/>
                <w:color w:val="000000"/>
                <w:sz w:val="18"/>
                <w:szCs w:val="18"/>
              </w:rPr>
              <w:t>-832.679,06</w:t>
            </w:r>
          </w:p>
        </w:tc>
      </w:tr>
      <w:tr w:rsidR="00855841" w:rsidRPr="00203EFC" w:rsidTr="008C2F9C">
        <w:trPr>
          <w:trHeight w:val="340"/>
        </w:trPr>
        <w:tc>
          <w:tcPr>
            <w:tcW w:w="2299" w:type="pct"/>
            <w:tcBorders>
              <w:top w:val="nil"/>
              <w:left w:val="nil"/>
              <w:bottom w:val="nil"/>
              <w:right w:val="nil"/>
            </w:tcBorders>
            <w:vAlign w:val="center"/>
            <w:hideMark/>
          </w:tcPr>
          <w:p w:rsidR="00855841" w:rsidRPr="00203EFC" w:rsidRDefault="00855841" w:rsidP="00A02770">
            <w:pPr>
              <w:spacing w:after="0" w:line="240" w:lineRule="auto"/>
              <w:rPr>
                <w:rFonts w:ascii="Arial" w:hAnsi="Arial" w:cs="Arial"/>
                <w:b/>
                <w:bCs/>
                <w:color w:val="000000"/>
                <w:sz w:val="18"/>
                <w:szCs w:val="18"/>
              </w:rPr>
            </w:pPr>
            <w:r w:rsidRPr="00203EFC">
              <w:rPr>
                <w:rFonts w:ascii="Arial" w:hAnsi="Arial" w:cs="Arial"/>
                <w:b/>
                <w:bCs/>
                <w:color w:val="000000"/>
                <w:sz w:val="18"/>
                <w:szCs w:val="18"/>
              </w:rPr>
              <w:t xml:space="preserve">8. Amortización del inmovilizado </w:t>
            </w:r>
          </w:p>
        </w:tc>
        <w:tc>
          <w:tcPr>
            <w:tcW w:w="821" w:type="pct"/>
            <w:tcBorders>
              <w:top w:val="nil"/>
              <w:left w:val="nil"/>
              <w:bottom w:val="nil"/>
              <w:right w:val="nil"/>
            </w:tcBorders>
            <w:vAlign w:val="center"/>
            <w:hideMark/>
          </w:tcPr>
          <w:p w:rsidR="00855841" w:rsidRPr="00203EFC" w:rsidRDefault="00855841" w:rsidP="00A02770">
            <w:pPr>
              <w:spacing w:after="0" w:line="240" w:lineRule="auto"/>
              <w:jc w:val="center"/>
              <w:rPr>
                <w:rFonts w:ascii="Arial" w:hAnsi="Arial" w:cs="Arial"/>
                <w:b/>
                <w:bCs/>
                <w:color w:val="000000"/>
                <w:sz w:val="18"/>
                <w:szCs w:val="18"/>
              </w:rPr>
            </w:pPr>
            <w:r w:rsidRPr="00203EFC">
              <w:rPr>
                <w:rFonts w:ascii="Arial" w:hAnsi="Arial" w:cs="Arial"/>
                <w:b/>
                <w:bCs/>
                <w:color w:val="000000"/>
                <w:sz w:val="18"/>
                <w:szCs w:val="18"/>
              </w:rPr>
              <w:t>4</w:t>
            </w:r>
          </w:p>
        </w:tc>
        <w:tc>
          <w:tcPr>
            <w:tcW w:w="940" w:type="pct"/>
            <w:tcBorders>
              <w:top w:val="nil"/>
              <w:left w:val="nil"/>
              <w:bottom w:val="nil"/>
              <w:right w:val="nil"/>
            </w:tcBorders>
            <w:vAlign w:val="center"/>
            <w:hideMark/>
          </w:tcPr>
          <w:p w:rsidR="00855841" w:rsidRPr="00203EFC" w:rsidRDefault="00342CF0" w:rsidP="00A02770">
            <w:pPr>
              <w:spacing w:after="0" w:line="240" w:lineRule="auto"/>
              <w:jc w:val="right"/>
              <w:rPr>
                <w:rFonts w:ascii="Arial" w:hAnsi="Arial" w:cs="Arial"/>
                <w:b/>
                <w:bCs/>
                <w:color w:val="000000"/>
                <w:sz w:val="18"/>
                <w:szCs w:val="18"/>
              </w:rPr>
            </w:pPr>
            <w:r>
              <w:rPr>
                <w:rFonts w:ascii="Arial" w:hAnsi="Arial" w:cs="Arial"/>
                <w:b/>
                <w:bCs/>
                <w:color w:val="000000"/>
                <w:sz w:val="18"/>
                <w:szCs w:val="18"/>
              </w:rPr>
              <w:t>-838.972,56</w:t>
            </w:r>
          </w:p>
        </w:tc>
        <w:tc>
          <w:tcPr>
            <w:tcW w:w="940" w:type="pct"/>
            <w:tcBorders>
              <w:top w:val="nil"/>
              <w:left w:val="nil"/>
              <w:bottom w:val="nil"/>
              <w:right w:val="nil"/>
            </w:tcBorders>
            <w:noWrap/>
            <w:vAlign w:val="center"/>
            <w:hideMark/>
          </w:tcPr>
          <w:p w:rsidR="00855841" w:rsidRPr="00203EFC" w:rsidRDefault="00342CF0" w:rsidP="00A02770">
            <w:pPr>
              <w:spacing w:after="0" w:line="240" w:lineRule="auto"/>
              <w:jc w:val="right"/>
              <w:rPr>
                <w:rFonts w:ascii="Arial" w:hAnsi="Arial" w:cs="Arial"/>
                <w:b/>
                <w:bCs/>
                <w:color w:val="000000"/>
                <w:sz w:val="18"/>
                <w:szCs w:val="18"/>
              </w:rPr>
            </w:pPr>
            <w:r>
              <w:rPr>
                <w:rFonts w:ascii="Arial" w:hAnsi="Arial" w:cs="Arial"/>
                <w:b/>
                <w:bCs/>
                <w:color w:val="000000"/>
                <w:sz w:val="18"/>
                <w:szCs w:val="18"/>
              </w:rPr>
              <w:t>-835.350,72</w:t>
            </w:r>
          </w:p>
        </w:tc>
      </w:tr>
      <w:tr w:rsidR="00DE7BF0" w:rsidRPr="00C67C91" w:rsidTr="00203EFC">
        <w:trPr>
          <w:trHeight w:val="340"/>
        </w:trPr>
        <w:tc>
          <w:tcPr>
            <w:tcW w:w="2299" w:type="pct"/>
            <w:tcBorders>
              <w:top w:val="single" w:sz="4" w:space="0" w:color="auto"/>
              <w:left w:val="nil"/>
              <w:bottom w:val="single" w:sz="4" w:space="0" w:color="auto"/>
              <w:right w:val="nil"/>
            </w:tcBorders>
            <w:shd w:val="clear" w:color="000000" w:fill="F2F2F2"/>
            <w:vAlign w:val="center"/>
            <w:hideMark/>
          </w:tcPr>
          <w:p w:rsidR="00DE7BF0" w:rsidRPr="00C67C91" w:rsidRDefault="00DE7BF0"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A) RESULTADO DE EXPLOTACIÓN </w:t>
            </w:r>
          </w:p>
        </w:tc>
        <w:tc>
          <w:tcPr>
            <w:tcW w:w="821" w:type="pct"/>
            <w:tcBorders>
              <w:top w:val="single" w:sz="4" w:space="0" w:color="auto"/>
              <w:left w:val="nil"/>
              <w:bottom w:val="single" w:sz="4" w:space="0" w:color="auto"/>
              <w:right w:val="nil"/>
            </w:tcBorders>
            <w:shd w:val="clear" w:color="000000" w:fill="F2F2F2"/>
            <w:vAlign w:val="center"/>
            <w:hideMark/>
          </w:tcPr>
          <w:p w:rsidR="00DE7BF0" w:rsidRPr="00C67C91" w:rsidRDefault="00DE7BF0" w:rsidP="00A02770">
            <w:pPr>
              <w:spacing w:after="0" w:line="240" w:lineRule="auto"/>
              <w:jc w:val="center"/>
              <w:rPr>
                <w:rFonts w:ascii="Arial" w:hAnsi="Arial" w:cs="Arial"/>
                <w:b/>
                <w:bCs/>
                <w:sz w:val="18"/>
                <w:szCs w:val="18"/>
              </w:rPr>
            </w:pPr>
          </w:p>
        </w:tc>
        <w:tc>
          <w:tcPr>
            <w:tcW w:w="940" w:type="pct"/>
            <w:tcBorders>
              <w:top w:val="single" w:sz="4" w:space="0" w:color="auto"/>
              <w:left w:val="nil"/>
              <w:bottom w:val="single" w:sz="4" w:space="0" w:color="auto"/>
              <w:right w:val="nil"/>
            </w:tcBorders>
            <w:shd w:val="clear" w:color="000000" w:fill="F2F2F2"/>
            <w:vAlign w:val="center"/>
            <w:hideMark/>
          </w:tcPr>
          <w:p w:rsidR="00DE7BF0" w:rsidRPr="00C67C91" w:rsidRDefault="00342CF0" w:rsidP="00A02770">
            <w:pPr>
              <w:spacing w:after="0" w:line="240" w:lineRule="auto"/>
              <w:jc w:val="right"/>
              <w:rPr>
                <w:rFonts w:ascii="Arial" w:hAnsi="Arial" w:cs="Arial"/>
                <w:b/>
                <w:bCs/>
                <w:sz w:val="18"/>
                <w:szCs w:val="18"/>
              </w:rPr>
            </w:pPr>
            <w:r>
              <w:rPr>
                <w:rFonts w:ascii="Arial" w:hAnsi="Arial" w:cs="Arial"/>
                <w:b/>
                <w:bCs/>
                <w:sz w:val="18"/>
                <w:szCs w:val="18"/>
              </w:rPr>
              <w:t>-</w:t>
            </w:r>
            <w:r w:rsidR="00D6164D" w:rsidRPr="00C67C91">
              <w:rPr>
                <w:rFonts w:ascii="Arial" w:hAnsi="Arial" w:cs="Arial"/>
                <w:b/>
                <w:bCs/>
                <w:sz w:val="18"/>
                <w:szCs w:val="18"/>
              </w:rPr>
              <w:t>54.790,84</w:t>
            </w:r>
          </w:p>
        </w:tc>
        <w:tc>
          <w:tcPr>
            <w:tcW w:w="940" w:type="pct"/>
            <w:tcBorders>
              <w:top w:val="single" w:sz="4" w:space="0" w:color="auto"/>
              <w:left w:val="nil"/>
              <w:bottom w:val="single" w:sz="4" w:space="0" w:color="auto"/>
              <w:right w:val="nil"/>
            </w:tcBorders>
            <w:shd w:val="clear" w:color="000000" w:fill="F2F2F2"/>
            <w:noWrap/>
            <w:vAlign w:val="center"/>
            <w:hideMark/>
          </w:tcPr>
          <w:p w:rsidR="00DE7BF0" w:rsidRPr="00C67C91" w:rsidRDefault="00DE7BF0"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251.585,72</w:t>
            </w:r>
          </w:p>
        </w:tc>
      </w:tr>
      <w:tr w:rsidR="00855841" w:rsidRPr="00203EFC" w:rsidTr="008C2F9C">
        <w:trPr>
          <w:trHeight w:val="340"/>
        </w:trPr>
        <w:tc>
          <w:tcPr>
            <w:tcW w:w="2299" w:type="pct"/>
            <w:tcBorders>
              <w:top w:val="nil"/>
              <w:left w:val="nil"/>
              <w:bottom w:val="single" w:sz="4" w:space="0" w:color="auto"/>
              <w:right w:val="nil"/>
            </w:tcBorders>
            <w:vAlign w:val="center"/>
            <w:hideMark/>
          </w:tcPr>
          <w:p w:rsidR="00855841" w:rsidRPr="00203EFC" w:rsidRDefault="00855841" w:rsidP="00A02770">
            <w:pPr>
              <w:spacing w:after="0" w:line="240" w:lineRule="auto"/>
              <w:rPr>
                <w:rFonts w:ascii="Arial" w:hAnsi="Arial" w:cs="Arial"/>
                <w:b/>
                <w:bCs/>
                <w:color w:val="000000"/>
                <w:sz w:val="18"/>
                <w:szCs w:val="18"/>
              </w:rPr>
            </w:pPr>
            <w:r w:rsidRPr="00203EFC">
              <w:rPr>
                <w:rFonts w:ascii="Arial" w:hAnsi="Arial" w:cs="Arial"/>
                <w:b/>
                <w:bCs/>
                <w:color w:val="000000"/>
                <w:sz w:val="18"/>
                <w:szCs w:val="18"/>
              </w:rPr>
              <w:t xml:space="preserve">17. Diferencias de cambio </w:t>
            </w:r>
          </w:p>
        </w:tc>
        <w:tc>
          <w:tcPr>
            <w:tcW w:w="821" w:type="pct"/>
            <w:tcBorders>
              <w:top w:val="nil"/>
              <w:left w:val="nil"/>
              <w:bottom w:val="single" w:sz="4" w:space="0" w:color="auto"/>
              <w:right w:val="nil"/>
            </w:tcBorders>
            <w:vAlign w:val="center"/>
            <w:hideMark/>
          </w:tcPr>
          <w:p w:rsidR="00855841" w:rsidRPr="00203EFC" w:rsidRDefault="00855841" w:rsidP="00A02770">
            <w:pPr>
              <w:spacing w:after="0" w:line="240" w:lineRule="auto"/>
              <w:jc w:val="center"/>
              <w:rPr>
                <w:rFonts w:ascii="Arial" w:hAnsi="Arial" w:cs="Arial"/>
                <w:b/>
                <w:bCs/>
                <w:color w:val="000000"/>
                <w:sz w:val="18"/>
                <w:szCs w:val="18"/>
              </w:rPr>
            </w:pPr>
            <w:r w:rsidRPr="00203EFC">
              <w:rPr>
                <w:rFonts w:ascii="Arial" w:hAnsi="Arial" w:cs="Arial"/>
                <w:b/>
                <w:bCs/>
                <w:color w:val="000000"/>
                <w:sz w:val="18"/>
                <w:szCs w:val="18"/>
              </w:rPr>
              <w:t>10</w:t>
            </w:r>
          </w:p>
        </w:tc>
        <w:tc>
          <w:tcPr>
            <w:tcW w:w="940" w:type="pct"/>
            <w:tcBorders>
              <w:top w:val="nil"/>
              <w:left w:val="nil"/>
              <w:bottom w:val="single" w:sz="4" w:space="0" w:color="auto"/>
              <w:right w:val="nil"/>
            </w:tcBorders>
            <w:vAlign w:val="center"/>
            <w:hideMark/>
          </w:tcPr>
          <w:p w:rsidR="00855841" w:rsidRPr="00203EFC" w:rsidRDefault="00855841" w:rsidP="00A02770">
            <w:pPr>
              <w:spacing w:after="0" w:line="240" w:lineRule="auto"/>
              <w:jc w:val="right"/>
              <w:rPr>
                <w:rFonts w:ascii="Arial" w:hAnsi="Arial" w:cs="Arial"/>
                <w:b/>
                <w:bCs/>
                <w:color w:val="000000"/>
                <w:sz w:val="18"/>
                <w:szCs w:val="18"/>
              </w:rPr>
            </w:pPr>
            <w:r w:rsidRPr="00203EFC">
              <w:rPr>
                <w:rFonts w:ascii="Arial" w:hAnsi="Arial" w:cs="Arial"/>
                <w:b/>
                <w:bCs/>
                <w:color w:val="000000"/>
                <w:sz w:val="18"/>
                <w:szCs w:val="18"/>
              </w:rPr>
              <w:t>-</w:t>
            </w:r>
          </w:p>
        </w:tc>
        <w:tc>
          <w:tcPr>
            <w:tcW w:w="940" w:type="pct"/>
            <w:tcBorders>
              <w:top w:val="nil"/>
              <w:left w:val="nil"/>
              <w:bottom w:val="single" w:sz="4" w:space="0" w:color="auto"/>
              <w:right w:val="nil"/>
            </w:tcBorders>
            <w:noWrap/>
            <w:vAlign w:val="center"/>
            <w:hideMark/>
          </w:tcPr>
          <w:p w:rsidR="00855841" w:rsidRPr="00203EFC" w:rsidRDefault="00342CF0" w:rsidP="00A02770">
            <w:pPr>
              <w:spacing w:after="0" w:line="240" w:lineRule="auto"/>
              <w:jc w:val="right"/>
              <w:rPr>
                <w:rFonts w:ascii="Arial" w:hAnsi="Arial" w:cs="Arial"/>
                <w:b/>
                <w:bCs/>
                <w:color w:val="000000"/>
                <w:sz w:val="18"/>
                <w:szCs w:val="18"/>
              </w:rPr>
            </w:pPr>
            <w:r>
              <w:rPr>
                <w:rFonts w:ascii="Arial" w:hAnsi="Arial" w:cs="Arial"/>
                <w:b/>
                <w:bCs/>
                <w:color w:val="000000"/>
                <w:sz w:val="18"/>
                <w:szCs w:val="18"/>
              </w:rPr>
              <w:t>-</w:t>
            </w:r>
            <w:r w:rsidR="00855841" w:rsidRPr="00203EFC">
              <w:rPr>
                <w:rFonts w:ascii="Arial" w:hAnsi="Arial" w:cs="Arial"/>
                <w:b/>
                <w:bCs/>
                <w:color w:val="000000"/>
                <w:sz w:val="18"/>
                <w:szCs w:val="18"/>
              </w:rPr>
              <w:t>4.622,2</w:t>
            </w:r>
            <w:r w:rsidR="00171A08" w:rsidRPr="00203EFC">
              <w:rPr>
                <w:rFonts w:ascii="Arial" w:hAnsi="Arial" w:cs="Arial"/>
                <w:b/>
                <w:bCs/>
                <w:color w:val="000000"/>
                <w:sz w:val="18"/>
                <w:szCs w:val="18"/>
              </w:rPr>
              <w:t>2</w:t>
            </w:r>
          </w:p>
        </w:tc>
      </w:tr>
      <w:tr w:rsidR="00855841" w:rsidRPr="00C67C91" w:rsidTr="00203EFC">
        <w:trPr>
          <w:trHeight w:val="340"/>
        </w:trPr>
        <w:tc>
          <w:tcPr>
            <w:tcW w:w="2299" w:type="pct"/>
            <w:tcBorders>
              <w:top w:val="single" w:sz="4" w:space="0" w:color="auto"/>
              <w:left w:val="nil"/>
              <w:bottom w:val="single" w:sz="4" w:space="0" w:color="auto"/>
              <w:right w:val="nil"/>
            </w:tcBorders>
            <w:shd w:val="clear" w:color="000000" w:fill="F2F2F2"/>
            <w:vAlign w:val="center"/>
            <w:hideMark/>
          </w:tcPr>
          <w:p w:rsidR="00855841" w:rsidRPr="00C67C91" w:rsidRDefault="00855841"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B) RESULTADO FINANCIERO </w:t>
            </w:r>
          </w:p>
        </w:tc>
        <w:tc>
          <w:tcPr>
            <w:tcW w:w="821" w:type="pct"/>
            <w:tcBorders>
              <w:top w:val="single" w:sz="4" w:space="0" w:color="auto"/>
              <w:left w:val="nil"/>
              <w:bottom w:val="single" w:sz="4" w:space="0" w:color="auto"/>
              <w:right w:val="nil"/>
            </w:tcBorders>
            <w:shd w:val="clear" w:color="000000" w:fill="F2F2F2"/>
            <w:vAlign w:val="center"/>
            <w:hideMark/>
          </w:tcPr>
          <w:p w:rsidR="00855841" w:rsidRPr="00C67C91" w:rsidRDefault="00855841" w:rsidP="00A02770">
            <w:pPr>
              <w:spacing w:after="0" w:line="240" w:lineRule="auto"/>
              <w:jc w:val="center"/>
              <w:rPr>
                <w:rFonts w:ascii="Arial" w:hAnsi="Arial" w:cs="Arial"/>
                <w:b/>
                <w:bCs/>
                <w:sz w:val="18"/>
                <w:szCs w:val="18"/>
              </w:rPr>
            </w:pPr>
          </w:p>
        </w:tc>
        <w:tc>
          <w:tcPr>
            <w:tcW w:w="940" w:type="pct"/>
            <w:tcBorders>
              <w:top w:val="single" w:sz="4" w:space="0" w:color="auto"/>
              <w:left w:val="nil"/>
              <w:bottom w:val="single" w:sz="4" w:space="0" w:color="auto"/>
              <w:right w:val="nil"/>
            </w:tcBorders>
            <w:shd w:val="clear" w:color="000000" w:fill="F2F2F2"/>
            <w:vAlign w:val="center"/>
            <w:hideMark/>
          </w:tcPr>
          <w:p w:rsidR="00855841" w:rsidRPr="00C67C91" w:rsidRDefault="00855841" w:rsidP="00A02770">
            <w:pPr>
              <w:spacing w:after="0" w:line="240" w:lineRule="auto"/>
              <w:jc w:val="right"/>
              <w:rPr>
                <w:rFonts w:ascii="Arial" w:hAnsi="Arial" w:cs="Arial"/>
                <w:sz w:val="18"/>
                <w:szCs w:val="18"/>
              </w:rPr>
            </w:pPr>
            <w:r w:rsidRPr="00C67C91">
              <w:rPr>
                <w:rFonts w:ascii="Arial" w:hAnsi="Arial" w:cs="Arial"/>
                <w:sz w:val="18"/>
                <w:szCs w:val="18"/>
              </w:rPr>
              <w:t>-</w:t>
            </w:r>
          </w:p>
        </w:tc>
        <w:tc>
          <w:tcPr>
            <w:tcW w:w="940" w:type="pct"/>
            <w:tcBorders>
              <w:top w:val="single" w:sz="4" w:space="0" w:color="auto"/>
              <w:left w:val="nil"/>
              <w:bottom w:val="single" w:sz="4" w:space="0" w:color="auto"/>
              <w:right w:val="nil"/>
            </w:tcBorders>
            <w:shd w:val="clear" w:color="000000" w:fill="F2F2F2"/>
            <w:vAlign w:val="center"/>
            <w:hideMark/>
          </w:tcPr>
          <w:p w:rsidR="00855841" w:rsidRPr="00C67C91" w:rsidRDefault="00342CF0" w:rsidP="00A02770">
            <w:pPr>
              <w:spacing w:after="0" w:line="240" w:lineRule="auto"/>
              <w:jc w:val="right"/>
              <w:rPr>
                <w:rFonts w:ascii="Arial" w:hAnsi="Arial" w:cs="Arial"/>
                <w:b/>
                <w:bCs/>
                <w:color w:val="000000"/>
                <w:sz w:val="18"/>
                <w:szCs w:val="18"/>
              </w:rPr>
            </w:pPr>
            <w:r>
              <w:rPr>
                <w:rFonts w:ascii="Arial" w:hAnsi="Arial" w:cs="Arial"/>
                <w:b/>
                <w:bCs/>
                <w:color w:val="000000"/>
                <w:sz w:val="18"/>
                <w:szCs w:val="18"/>
              </w:rPr>
              <w:t>-4.622,22</w:t>
            </w:r>
          </w:p>
        </w:tc>
      </w:tr>
      <w:tr w:rsidR="00DE7BF0" w:rsidRPr="00C67C91" w:rsidTr="00203EFC">
        <w:trPr>
          <w:trHeight w:val="227"/>
        </w:trPr>
        <w:tc>
          <w:tcPr>
            <w:tcW w:w="2299" w:type="pct"/>
            <w:tcBorders>
              <w:top w:val="single" w:sz="4" w:space="0" w:color="auto"/>
              <w:left w:val="nil"/>
              <w:bottom w:val="single" w:sz="4" w:space="0" w:color="auto"/>
              <w:right w:val="nil"/>
            </w:tcBorders>
            <w:vAlign w:val="center"/>
          </w:tcPr>
          <w:p w:rsidR="00DE7BF0" w:rsidRPr="00C67C91" w:rsidRDefault="00DE7BF0" w:rsidP="00A02770">
            <w:pPr>
              <w:spacing w:after="0" w:line="240" w:lineRule="auto"/>
              <w:rPr>
                <w:rFonts w:ascii="Arial" w:hAnsi="Arial" w:cs="Arial"/>
                <w:b/>
                <w:bCs/>
                <w:color w:val="000000"/>
                <w:sz w:val="12"/>
                <w:szCs w:val="12"/>
              </w:rPr>
            </w:pPr>
          </w:p>
        </w:tc>
        <w:tc>
          <w:tcPr>
            <w:tcW w:w="821" w:type="pct"/>
            <w:tcBorders>
              <w:top w:val="single" w:sz="4" w:space="0" w:color="auto"/>
              <w:left w:val="nil"/>
              <w:bottom w:val="single" w:sz="4" w:space="0" w:color="auto"/>
              <w:right w:val="nil"/>
            </w:tcBorders>
            <w:vAlign w:val="center"/>
          </w:tcPr>
          <w:p w:rsidR="00DE7BF0" w:rsidRPr="00C67C91" w:rsidRDefault="00DE7BF0" w:rsidP="00A02770">
            <w:pPr>
              <w:spacing w:after="0" w:line="240" w:lineRule="auto"/>
              <w:jc w:val="center"/>
              <w:rPr>
                <w:rFonts w:ascii="Arial" w:hAnsi="Arial" w:cs="Arial"/>
                <w:b/>
                <w:bCs/>
                <w:sz w:val="12"/>
                <w:szCs w:val="12"/>
              </w:rPr>
            </w:pPr>
          </w:p>
        </w:tc>
        <w:tc>
          <w:tcPr>
            <w:tcW w:w="940" w:type="pct"/>
            <w:tcBorders>
              <w:top w:val="single" w:sz="4" w:space="0" w:color="auto"/>
              <w:left w:val="nil"/>
              <w:bottom w:val="single" w:sz="4" w:space="0" w:color="auto"/>
              <w:right w:val="nil"/>
            </w:tcBorders>
            <w:vAlign w:val="center"/>
          </w:tcPr>
          <w:p w:rsidR="00DE7BF0" w:rsidRPr="00C67C91" w:rsidRDefault="00DE7BF0" w:rsidP="00A02770">
            <w:pPr>
              <w:spacing w:after="0" w:line="240" w:lineRule="auto"/>
              <w:jc w:val="right"/>
              <w:rPr>
                <w:rFonts w:ascii="Arial" w:hAnsi="Arial" w:cs="Arial"/>
                <w:b/>
                <w:bCs/>
                <w:sz w:val="12"/>
                <w:szCs w:val="12"/>
              </w:rPr>
            </w:pPr>
          </w:p>
        </w:tc>
        <w:tc>
          <w:tcPr>
            <w:tcW w:w="940" w:type="pct"/>
            <w:tcBorders>
              <w:top w:val="single" w:sz="4" w:space="0" w:color="auto"/>
              <w:left w:val="nil"/>
              <w:bottom w:val="single" w:sz="4" w:space="0" w:color="auto"/>
              <w:right w:val="nil"/>
            </w:tcBorders>
            <w:vAlign w:val="center"/>
          </w:tcPr>
          <w:p w:rsidR="00DE7BF0" w:rsidRPr="00C67C91" w:rsidRDefault="00DE7BF0" w:rsidP="00A02770">
            <w:pPr>
              <w:spacing w:after="0" w:line="240" w:lineRule="auto"/>
              <w:jc w:val="right"/>
              <w:rPr>
                <w:rFonts w:ascii="Arial" w:hAnsi="Arial" w:cs="Arial"/>
                <w:b/>
                <w:bCs/>
                <w:color w:val="000000"/>
                <w:sz w:val="12"/>
                <w:szCs w:val="12"/>
              </w:rPr>
            </w:pPr>
          </w:p>
        </w:tc>
      </w:tr>
      <w:tr w:rsidR="00855841" w:rsidRPr="00C67C91" w:rsidTr="00203EFC">
        <w:trPr>
          <w:trHeight w:val="300"/>
        </w:trPr>
        <w:tc>
          <w:tcPr>
            <w:tcW w:w="2299" w:type="pct"/>
            <w:tcBorders>
              <w:top w:val="single" w:sz="4" w:space="0" w:color="auto"/>
              <w:left w:val="nil"/>
              <w:bottom w:val="single" w:sz="4" w:space="0" w:color="auto"/>
              <w:right w:val="nil"/>
            </w:tcBorders>
            <w:shd w:val="clear" w:color="000000" w:fill="F2F2F2"/>
            <w:vAlign w:val="center"/>
            <w:hideMark/>
          </w:tcPr>
          <w:p w:rsidR="00855841" w:rsidRPr="00C67C91" w:rsidRDefault="00855841"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C) RESULTADO ANTES DE IMPUESTOS (A+B) </w:t>
            </w:r>
          </w:p>
        </w:tc>
        <w:tc>
          <w:tcPr>
            <w:tcW w:w="821" w:type="pct"/>
            <w:tcBorders>
              <w:top w:val="single" w:sz="4" w:space="0" w:color="auto"/>
              <w:left w:val="nil"/>
              <w:bottom w:val="single" w:sz="4" w:space="0" w:color="auto"/>
              <w:right w:val="nil"/>
            </w:tcBorders>
            <w:shd w:val="clear" w:color="000000" w:fill="F2F2F2"/>
            <w:vAlign w:val="center"/>
            <w:hideMark/>
          </w:tcPr>
          <w:p w:rsidR="00855841" w:rsidRPr="00C67C91" w:rsidRDefault="00855841" w:rsidP="00A02770">
            <w:pPr>
              <w:spacing w:after="0" w:line="240" w:lineRule="auto"/>
              <w:jc w:val="center"/>
              <w:rPr>
                <w:rFonts w:ascii="Arial" w:hAnsi="Arial" w:cs="Arial"/>
                <w:b/>
                <w:bCs/>
                <w:sz w:val="18"/>
                <w:szCs w:val="18"/>
              </w:rPr>
            </w:pPr>
          </w:p>
        </w:tc>
        <w:tc>
          <w:tcPr>
            <w:tcW w:w="940" w:type="pct"/>
            <w:tcBorders>
              <w:top w:val="single" w:sz="4" w:space="0" w:color="auto"/>
              <w:left w:val="nil"/>
              <w:bottom w:val="single" w:sz="4" w:space="0" w:color="auto"/>
              <w:right w:val="nil"/>
            </w:tcBorders>
            <w:shd w:val="clear" w:color="000000" w:fill="F2F2F2"/>
            <w:vAlign w:val="center"/>
            <w:hideMark/>
          </w:tcPr>
          <w:p w:rsidR="00855841" w:rsidRPr="00C67C91" w:rsidRDefault="00342CF0" w:rsidP="00A02770">
            <w:pPr>
              <w:spacing w:after="0" w:line="240" w:lineRule="auto"/>
              <w:jc w:val="right"/>
              <w:rPr>
                <w:rFonts w:ascii="Arial" w:hAnsi="Arial" w:cs="Arial"/>
                <w:b/>
                <w:bCs/>
                <w:sz w:val="18"/>
                <w:szCs w:val="18"/>
              </w:rPr>
            </w:pPr>
            <w:r>
              <w:rPr>
                <w:rFonts w:ascii="Arial" w:hAnsi="Arial" w:cs="Arial"/>
                <w:b/>
                <w:bCs/>
                <w:sz w:val="18"/>
                <w:szCs w:val="18"/>
              </w:rPr>
              <w:t>-</w:t>
            </w:r>
            <w:r w:rsidR="00D6164D" w:rsidRPr="00C67C91">
              <w:rPr>
                <w:rFonts w:ascii="Arial" w:hAnsi="Arial" w:cs="Arial"/>
                <w:b/>
                <w:bCs/>
                <w:sz w:val="18"/>
                <w:szCs w:val="18"/>
              </w:rPr>
              <w:t>54.790,84</w:t>
            </w:r>
          </w:p>
        </w:tc>
        <w:tc>
          <w:tcPr>
            <w:tcW w:w="940" w:type="pct"/>
            <w:tcBorders>
              <w:top w:val="single" w:sz="4" w:space="0" w:color="auto"/>
              <w:left w:val="nil"/>
              <w:bottom w:val="single" w:sz="4" w:space="0" w:color="auto"/>
              <w:right w:val="nil"/>
            </w:tcBorders>
            <w:shd w:val="clear" w:color="000000" w:fill="F2F2F2"/>
            <w:vAlign w:val="center"/>
            <w:hideMark/>
          </w:tcPr>
          <w:p w:rsidR="00855841" w:rsidRPr="00C67C91" w:rsidRDefault="00855841"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246.963,50</w:t>
            </w:r>
          </w:p>
        </w:tc>
      </w:tr>
      <w:tr w:rsidR="00DE7BF0" w:rsidRPr="008C2F9C" w:rsidTr="008C2F9C">
        <w:trPr>
          <w:trHeight w:val="340"/>
        </w:trPr>
        <w:tc>
          <w:tcPr>
            <w:tcW w:w="2299" w:type="pct"/>
            <w:tcBorders>
              <w:top w:val="single" w:sz="4" w:space="0" w:color="auto"/>
              <w:left w:val="nil"/>
              <w:bottom w:val="nil"/>
              <w:right w:val="nil"/>
            </w:tcBorders>
            <w:vAlign w:val="center"/>
            <w:hideMark/>
          </w:tcPr>
          <w:p w:rsidR="00DE7BF0" w:rsidRPr="008C2F9C" w:rsidRDefault="00DE7BF0" w:rsidP="00A02770">
            <w:pPr>
              <w:spacing w:after="0" w:line="240" w:lineRule="auto"/>
              <w:rPr>
                <w:rFonts w:ascii="Arial" w:hAnsi="Arial" w:cs="Arial"/>
                <w:b/>
                <w:bCs/>
                <w:color w:val="000000"/>
                <w:sz w:val="18"/>
                <w:szCs w:val="18"/>
              </w:rPr>
            </w:pPr>
            <w:r w:rsidRPr="008C2F9C">
              <w:rPr>
                <w:rFonts w:ascii="Arial" w:hAnsi="Arial" w:cs="Arial"/>
                <w:b/>
                <w:bCs/>
                <w:color w:val="000000"/>
                <w:sz w:val="18"/>
                <w:szCs w:val="18"/>
              </w:rPr>
              <w:t>20. Impuestos sobre beneficios</w:t>
            </w:r>
          </w:p>
        </w:tc>
        <w:tc>
          <w:tcPr>
            <w:tcW w:w="821" w:type="pct"/>
            <w:tcBorders>
              <w:top w:val="single" w:sz="4" w:space="0" w:color="auto"/>
              <w:left w:val="nil"/>
              <w:bottom w:val="nil"/>
              <w:right w:val="nil"/>
            </w:tcBorders>
            <w:vAlign w:val="center"/>
            <w:hideMark/>
          </w:tcPr>
          <w:p w:rsidR="00DE7BF0" w:rsidRPr="008C2F9C" w:rsidRDefault="00DE7BF0" w:rsidP="00A02770">
            <w:pPr>
              <w:spacing w:after="0" w:line="240" w:lineRule="auto"/>
              <w:jc w:val="center"/>
              <w:rPr>
                <w:rFonts w:ascii="Arial" w:hAnsi="Arial" w:cs="Arial"/>
                <w:b/>
                <w:bCs/>
                <w:color w:val="000000"/>
                <w:sz w:val="18"/>
                <w:szCs w:val="18"/>
              </w:rPr>
            </w:pPr>
            <w:r w:rsidRPr="008C2F9C">
              <w:rPr>
                <w:rFonts w:ascii="Arial" w:hAnsi="Arial" w:cs="Arial"/>
                <w:b/>
                <w:bCs/>
                <w:color w:val="000000"/>
                <w:sz w:val="18"/>
                <w:szCs w:val="18"/>
              </w:rPr>
              <w:t>8</w:t>
            </w:r>
          </w:p>
        </w:tc>
        <w:tc>
          <w:tcPr>
            <w:tcW w:w="940" w:type="pct"/>
            <w:tcBorders>
              <w:top w:val="single" w:sz="4" w:space="0" w:color="auto"/>
              <w:left w:val="nil"/>
              <w:bottom w:val="nil"/>
              <w:right w:val="nil"/>
            </w:tcBorders>
            <w:vAlign w:val="center"/>
            <w:hideMark/>
          </w:tcPr>
          <w:p w:rsidR="00DE7BF0" w:rsidRPr="008C2F9C" w:rsidRDefault="00D6164D" w:rsidP="00A02770">
            <w:pPr>
              <w:spacing w:after="0" w:line="240" w:lineRule="auto"/>
              <w:jc w:val="right"/>
              <w:rPr>
                <w:rFonts w:ascii="Arial" w:hAnsi="Arial" w:cs="Arial"/>
                <w:b/>
                <w:bCs/>
                <w:sz w:val="18"/>
                <w:szCs w:val="18"/>
              </w:rPr>
            </w:pPr>
            <w:r w:rsidRPr="008C2F9C">
              <w:rPr>
                <w:rFonts w:ascii="Arial" w:hAnsi="Arial" w:cs="Arial"/>
                <w:b/>
                <w:bCs/>
                <w:sz w:val="18"/>
                <w:szCs w:val="18"/>
              </w:rPr>
              <w:t>13.697,71</w:t>
            </w:r>
          </w:p>
        </w:tc>
        <w:tc>
          <w:tcPr>
            <w:tcW w:w="940" w:type="pct"/>
            <w:tcBorders>
              <w:top w:val="single" w:sz="4" w:space="0" w:color="auto"/>
              <w:left w:val="nil"/>
              <w:bottom w:val="nil"/>
              <w:right w:val="nil"/>
            </w:tcBorders>
            <w:noWrap/>
            <w:vAlign w:val="center"/>
          </w:tcPr>
          <w:p w:rsidR="00DE7BF0" w:rsidRPr="008C2F9C" w:rsidRDefault="00342CF0" w:rsidP="00A02770">
            <w:pPr>
              <w:spacing w:after="0" w:line="240" w:lineRule="auto"/>
              <w:jc w:val="right"/>
              <w:rPr>
                <w:rFonts w:ascii="Arial" w:hAnsi="Arial" w:cs="Arial"/>
                <w:b/>
                <w:bCs/>
                <w:color w:val="000000"/>
                <w:sz w:val="18"/>
                <w:szCs w:val="18"/>
              </w:rPr>
            </w:pPr>
            <w:r>
              <w:rPr>
                <w:rFonts w:ascii="Arial" w:hAnsi="Arial" w:cs="Arial"/>
                <w:b/>
                <w:bCs/>
                <w:color w:val="000000"/>
                <w:sz w:val="18"/>
                <w:szCs w:val="18"/>
              </w:rPr>
              <w:t>-61.740,88</w:t>
            </w:r>
          </w:p>
        </w:tc>
      </w:tr>
      <w:tr w:rsidR="00DE7BF0" w:rsidRPr="00C67C91" w:rsidTr="00203EFC">
        <w:trPr>
          <w:trHeight w:val="340"/>
        </w:trPr>
        <w:tc>
          <w:tcPr>
            <w:tcW w:w="2299" w:type="pct"/>
            <w:tcBorders>
              <w:top w:val="single" w:sz="4" w:space="0" w:color="auto"/>
              <w:left w:val="nil"/>
              <w:bottom w:val="single" w:sz="4" w:space="0" w:color="auto"/>
              <w:right w:val="nil"/>
            </w:tcBorders>
            <w:shd w:val="clear" w:color="auto" w:fill="F2F2F2" w:themeFill="background1" w:themeFillShade="F2"/>
            <w:vAlign w:val="center"/>
            <w:hideMark/>
          </w:tcPr>
          <w:p w:rsidR="00DE7BF0" w:rsidRPr="00C67C91" w:rsidRDefault="00DE7BF0"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D) RESULTADO DEL EJERCICIO (C+20) </w:t>
            </w:r>
          </w:p>
        </w:tc>
        <w:tc>
          <w:tcPr>
            <w:tcW w:w="821" w:type="pct"/>
            <w:tcBorders>
              <w:top w:val="single" w:sz="4" w:space="0" w:color="auto"/>
              <w:left w:val="nil"/>
              <w:bottom w:val="single" w:sz="4" w:space="0" w:color="auto"/>
              <w:right w:val="nil"/>
            </w:tcBorders>
            <w:shd w:val="clear" w:color="auto" w:fill="F2F2F2" w:themeFill="background1" w:themeFillShade="F2"/>
            <w:vAlign w:val="center"/>
            <w:hideMark/>
          </w:tcPr>
          <w:p w:rsidR="00DE7BF0" w:rsidRPr="00C67C91" w:rsidRDefault="00DE7BF0" w:rsidP="00A02770">
            <w:pPr>
              <w:spacing w:after="0" w:line="240" w:lineRule="auto"/>
              <w:jc w:val="center"/>
              <w:rPr>
                <w:rFonts w:ascii="Arial" w:hAnsi="Arial" w:cs="Arial"/>
                <w:sz w:val="18"/>
                <w:szCs w:val="18"/>
              </w:rPr>
            </w:pPr>
            <w:r w:rsidRPr="00C67C91">
              <w:rPr>
                <w:rFonts w:ascii="Arial" w:hAnsi="Arial" w:cs="Arial"/>
                <w:sz w:val="18"/>
                <w:szCs w:val="18"/>
              </w:rPr>
              <w:t> </w:t>
            </w:r>
            <w:r w:rsidR="00BB5F57">
              <w:rPr>
                <w:rFonts w:ascii="Arial" w:hAnsi="Arial" w:cs="Arial"/>
                <w:sz w:val="18"/>
                <w:szCs w:val="18"/>
              </w:rPr>
              <w:t>7</w:t>
            </w:r>
          </w:p>
        </w:tc>
        <w:tc>
          <w:tcPr>
            <w:tcW w:w="940" w:type="pct"/>
            <w:tcBorders>
              <w:top w:val="single" w:sz="4" w:space="0" w:color="auto"/>
              <w:left w:val="nil"/>
              <w:bottom w:val="single" w:sz="4" w:space="0" w:color="auto"/>
              <w:right w:val="nil"/>
            </w:tcBorders>
            <w:shd w:val="clear" w:color="auto" w:fill="F2F2F2" w:themeFill="background1" w:themeFillShade="F2"/>
            <w:vAlign w:val="center"/>
            <w:hideMark/>
          </w:tcPr>
          <w:p w:rsidR="00DE7BF0" w:rsidRPr="00C67C91" w:rsidRDefault="00342CF0" w:rsidP="00A02770">
            <w:pPr>
              <w:spacing w:after="0" w:line="240" w:lineRule="auto"/>
              <w:jc w:val="right"/>
              <w:rPr>
                <w:rFonts w:ascii="Arial" w:hAnsi="Arial" w:cs="Arial"/>
                <w:b/>
                <w:bCs/>
                <w:sz w:val="18"/>
                <w:szCs w:val="18"/>
              </w:rPr>
            </w:pPr>
            <w:r>
              <w:rPr>
                <w:rFonts w:ascii="Arial" w:hAnsi="Arial" w:cs="Arial"/>
                <w:b/>
                <w:bCs/>
                <w:sz w:val="18"/>
                <w:szCs w:val="18"/>
              </w:rPr>
              <w:t>-</w:t>
            </w:r>
            <w:r w:rsidR="00D6164D" w:rsidRPr="00C67C91">
              <w:rPr>
                <w:rFonts w:ascii="Arial" w:hAnsi="Arial" w:cs="Arial"/>
                <w:b/>
                <w:bCs/>
                <w:sz w:val="18"/>
                <w:szCs w:val="18"/>
              </w:rPr>
              <w:t>41.093,13</w:t>
            </w:r>
          </w:p>
        </w:tc>
        <w:tc>
          <w:tcPr>
            <w:tcW w:w="940" w:type="pct"/>
            <w:tcBorders>
              <w:top w:val="single" w:sz="4" w:space="0" w:color="auto"/>
              <w:left w:val="nil"/>
              <w:bottom w:val="single" w:sz="4" w:space="0" w:color="auto"/>
              <w:right w:val="nil"/>
            </w:tcBorders>
            <w:shd w:val="clear" w:color="auto" w:fill="F2F2F2" w:themeFill="background1" w:themeFillShade="F2"/>
            <w:vAlign w:val="center"/>
            <w:hideMark/>
          </w:tcPr>
          <w:p w:rsidR="00DE7BF0" w:rsidRPr="00C67C91" w:rsidRDefault="00DE7BF0"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185.222,62</w:t>
            </w:r>
          </w:p>
        </w:tc>
      </w:tr>
    </w:tbl>
    <w:p w:rsidR="00D63117" w:rsidRPr="00C67C91" w:rsidRDefault="00275DF2" w:rsidP="00A02770">
      <w:pPr>
        <w:pStyle w:val="CM19"/>
        <w:spacing w:before="120"/>
        <w:jc w:val="center"/>
        <w:rPr>
          <w:rFonts w:ascii="Arial" w:hAnsi="Arial" w:cs="Arial"/>
          <w:i/>
          <w:iCs/>
          <w:sz w:val="18"/>
          <w:szCs w:val="18"/>
          <w:highlight w:val="yellow"/>
        </w:rPr>
        <w:sectPr w:rsidR="00D63117" w:rsidRPr="00C67C91" w:rsidSect="00D63117">
          <w:headerReference w:type="default" r:id="rId12"/>
          <w:pgSz w:w="11907" w:h="16839"/>
          <w:pgMar w:top="1701" w:right="1701" w:bottom="1701" w:left="1701" w:header="850" w:footer="720" w:gutter="0"/>
          <w:pgNumType w:start="1"/>
          <w:cols w:space="720"/>
          <w:noEndnote/>
          <w:docGrid w:linePitch="299"/>
        </w:sectPr>
      </w:pPr>
      <w:r w:rsidRPr="00C67C91">
        <w:rPr>
          <w:rFonts w:ascii="Arial" w:hAnsi="Arial" w:cs="Arial"/>
          <w:i/>
          <w:iCs/>
          <w:sz w:val="18"/>
          <w:szCs w:val="18"/>
        </w:rPr>
        <w:t xml:space="preserve">Las Cuentas Anuales Abreviadas de la Sociedad, que forman una sola unidad, comprenden estas Cuentas de Pérdidas y Ganancias Abreviadas, los Balances de Situación Abreviados y la Memoria Anual Abreviada adjunta que consta de </w:t>
      </w:r>
      <w:r w:rsidR="00315483" w:rsidRPr="00C67C91">
        <w:rPr>
          <w:rFonts w:ascii="Arial" w:hAnsi="Arial" w:cs="Arial"/>
          <w:i/>
          <w:iCs/>
          <w:sz w:val="18"/>
          <w:szCs w:val="18"/>
        </w:rPr>
        <w:t>13</w:t>
      </w:r>
      <w:r w:rsidRPr="00C67C91">
        <w:rPr>
          <w:rFonts w:ascii="Arial" w:hAnsi="Arial" w:cs="Arial"/>
          <w:i/>
          <w:iCs/>
          <w:sz w:val="18"/>
          <w:szCs w:val="18"/>
        </w:rPr>
        <w:t xml:space="preserve"> Notas.</w:t>
      </w:r>
    </w:p>
    <w:p w:rsidR="004A6AAC" w:rsidRPr="00203EFC" w:rsidRDefault="00403B74" w:rsidP="00A02770">
      <w:pPr>
        <w:spacing w:before="120" w:after="0" w:line="240" w:lineRule="auto"/>
        <w:jc w:val="center"/>
        <w:rPr>
          <w:rFonts w:ascii="Arial" w:hAnsi="Arial" w:cs="Arial"/>
          <w:b/>
          <w:bCs/>
          <w:sz w:val="28"/>
          <w:szCs w:val="28"/>
          <w:u w:val="single"/>
        </w:rPr>
      </w:pPr>
      <w:proofErr w:type="spellStart"/>
      <w:r w:rsidRPr="00203EFC">
        <w:rPr>
          <w:rFonts w:ascii="Arial" w:hAnsi="Arial" w:cs="Arial"/>
          <w:b/>
          <w:bCs/>
          <w:sz w:val="28"/>
          <w:szCs w:val="28"/>
          <w:u w:val="single"/>
        </w:rPr>
        <w:lastRenderedPageBreak/>
        <w:t>Canalink</w:t>
      </w:r>
      <w:proofErr w:type="spellEnd"/>
      <w:r w:rsidRPr="00203EFC">
        <w:rPr>
          <w:rFonts w:ascii="Arial" w:hAnsi="Arial" w:cs="Arial"/>
          <w:b/>
          <w:bCs/>
          <w:sz w:val="28"/>
          <w:szCs w:val="28"/>
          <w:u w:val="single"/>
        </w:rPr>
        <w:t xml:space="preserve"> </w:t>
      </w:r>
      <w:r w:rsidR="00A02770" w:rsidRPr="00203EFC">
        <w:rPr>
          <w:rFonts w:ascii="Arial" w:hAnsi="Arial" w:cs="Arial"/>
          <w:b/>
          <w:bCs/>
          <w:sz w:val="28"/>
          <w:szCs w:val="28"/>
          <w:u w:val="single"/>
        </w:rPr>
        <w:t>África</w:t>
      </w:r>
      <w:r w:rsidR="004A6AAC" w:rsidRPr="00203EFC">
        <w:rPr>
          <w:rFonts w:ascii="Arial" w:hAnsi="Arial" w:cs="Arial"/>
          <w:b/>
          <w:bCs/>
          <w:sz w:val="28"/>
          <w:szCs w:val="28"/>
          <w:u w:val="single"/>
        </w:rPr>
        <w:t>, S.L.U.</w:t>
      </w:r>
    </w:p>
    <w:p w:rsidR="00336822" w:rsidRDefault="004A6AAC" w:rsidP="00A02770">
      <w:pPr>
        <w:spacing w:before="120" w:line="240" w:lineRule="auto"/>
        <w:jc w:val="center"/>
        <w:rPr>
          <w:rFonts w:ascii="Arial" w:hAnsi="Arial" w:cs="Arial"/>
          <w:b/>
          <w:bCs/>
          <w:sz w:val="24"/>
          <w:szCs w:val="24"/>
          <w:u w:val="single"/>
        </w:rPr>
      </w:pPr>
      <w:r w:rsidRPr="00203EFC">
        <w:rPr>
          <w:rFonts w:ascii="Arial" w:hAnsi="Arial" w:cs="Arial"/>
          <w:b/>
          <w:bCs/>
          <w:sz w:val="24"/>
          <w:szCs w:val="24"/>
          <w:u w:val="single"/>
        </w:rPr>
        <w:t>MEMORIA ABREVIADA DEL EJERCICIO 20</w:t>
      </w:r>
      <w:r w:rsidR="00D6164D" w:rsidRPr="00203EFC">
        <w:rPr>
          <w:rFonts w:ascii="Arial" w:hAnsi="Arial" w:cs="Arial"/>
          <w:b/>
          <w:bCs/>
          <w:sz w:val="24"/>
          <w:szCs w:val="24"/>
          <w:u w:val="single"/>
        </w:rPr>
        <w:t>20</w:t>
      </w:r>
    </w:p>
    <w:p w:rsidR="00203EFC" w:rsidRPr="00203EFC" w:rsidRDefault="00203EFC" w:rsidP="00203EFC">
      <w:pPr>
        <w:widowControl w:val="0"/>
        <w:autoSpaceDE w:val="0"/>
        <w:autoSpaceDN w:val="0"/>
        <w:adjustRightInd w:val="0"/>
        <w:spacing w:before="120" w:after="120" w:line="280" w:lineRule="exact"/>
        <w:jc w:val="both"/>
        <w:rPr>
          <w:rFonts w:ascii="Arial" w:hAnsi="Arial" w:cs="Arial"/>
          <w:b/>
          <w:bCs/>
          <w:sz w:val="24"/>
          <w:szCs w:val="24"/>
          <w:u w:val="single"/>
        </w:rPr>
      </w:pPr>
    </w:p>
    <w:p w:rsidR="00336822" w:rsidRPr="00203EFC" w:rsidRDefault="00336822" w:rsidP="00203EFC">
      <w:pPr>
        <w:pStyle w:val="CM20"/>
        <w:spacing w:before="240" w:after="120"/>
        <w:ind w:left="284" w:hanging="284"/>
        <w:jc w:val="both"/>
        <w:rPr>
          <w:rFonts w:ascii="Arial" w:hAnsi="Arial" w:cs="Arial"/>
          <w:b/>
          <w:bCs/>
          <w:sz w:val="20"/>
          <w:szCs w:val="20"/>
        </w:rPr>
      </w:pPr>
      <w:r w:rsidRPr="00C67C91">
        <w:rPr>
          <w:rFonts w:ascii="Arial" w:hAnsi="Arial" w:cs="Arial"/>
          <w:b/>
          <w:bCs/>
          <w:sz w:val="20"/>
          <w:szCs w:val="20"/>
        </w:rPr>
        <w:t>1.-</w:t>
      </w:r>
      <w:r w:rsidRPr="00C67C91">
        <w:rPr>
          <w:rFonts w:ascii="Arial" w:hAnsi="Arial" w:cs="Arial"/>
          <w:b/>
          <w:bCs/>
          <w:sz w:val="20"/>
          <w:szCs w:val="20"/>
        </w:rPr>
        <w:tab/>
        <w:t xml:space="preserve">ACTIVIDAD DE LA EMPRESA </w:t>
      </w:r>
    </w:p>
    <w:p w:rsidR="00336822" w:rsidRPr="00C67C91" w:rsidRDefault="00A02770" w:rsidP="00B467FA">
      <w:pPr>
        <w:pStyle w:val="CM20"/>
        <w:spacing w:before="120" w:after="120" w:line="260" w:lineRule="exact"/>
        <w:jc w:val="both"/>
        <w:rPr>
          <w:rFonts w:ascii="Arial" w:hAnsi="Arial" w:cs="Arial"/>
          <w:sz w:val="20"/>
          <w:szCs w:val="20"/>
        </w:rPr>
      </w:pPr>
      <w:proofErr w:type="spellStart"/>
      <w:r w:rsidRPr="00C67C91">
        <w:rPr>
          <w:rFonts w:ascii="Arial" w:hAnsi="Arial" w:cs="Arial"/>
          <w:b/>
          <w:sz w:val="20"/>
          <w:szCs w:val="20"/>
        </w:rPr>
        <w:t>Canalink</w:t>
      </w:r>
      <w:proofErr w:type="spellEnd"/>
      <w:r w:rsidRPr="00C67C91">
        <w:rPr>
          <w:rFonts w:ascii="Arial" w:hAnsi="Arial" w:cs="Arial"/>
          <w:b/>
          <w:sz w:val="20"/>
          <w:szCs w:val="20"/>
        </w:rPr>
        <w:t xml:space="preserve"> África, S.L.U. </w:t>
      </w:r>
      <w:r w:rsidRPr="00C67C91">
        <w:rPr>
          <w:rFonts w:ascii="Arial" w:hAnsi="Arial" w:cs="Arial"/>
          <w:sz w:val="20"/>
          <w:szCs w:val="20"/>
        </w:rPr>
        <w:t>(en adelante “</w:t>
      </w:r>
      <w:r w:rsidR="00336822" w:rsidRPr="00C67C91">
        <w:rPr>
          <w:rFonts w:ascii="Arial" w:hAnsi="Arial" w:cs="Arial"/>
          <w:sz w:val="20"/>
          <w:szCs w:val="20"/>
        </w:rPr>
        <w:t xml:space="preserve">La </w:t>
      </w:r>
      <w:r w:rsidRPr="00C67C91">
        <w:rPr>
          <w:rFonts w:ascii="Arial" w:hAnsi="Arial" w:cs="Arial"/>
          <w:sz w:val="20"/>
          <w:szCs w:val="20"/>
        </w:rPr>
        <w:t>S</w:t>
      </w:r>
      <w:r w:rsidR="00336822" w:rsidRPr="00C67C91">
        <w:rPr>
          <w:rFonts w:ascii="Arial" w:hAnsi="Arial" w:cs="Arial"/>
          <w:sz w:val="20"/>
          <w:szCs w:val="20"/>
        </w:rPr>
        <w:t>ociedad</w:t>
      </w:r>
      <w:r w:rsidRPr="00C67C91">
        <w:rPr>
          <w:rFonts w:ascii="Arial" w:hAnsi="Arial" w:cs="Arial"/>
          <w:sz w:val="20"/>
          <w:szCs w:val="20"/>
        </w:rPr>
        <w:t>”)</w:t>
      </w:r>
      <w:r w:rsidR="00336822" w:rsidRPr="00C67C91">
        <w:rPr>
          <w:rFonts w:ascii="Arial" w:hAnsi="Arial" w:cs="Arial"/>
          <w:sz w:val="20"/>
          <w:szCs w:val="20"/>
        </w:rPr>
        <w:t xml:space="preserve"> se constituyó el 15 de mayo de 2012, como sociedad limitada mediante escritura otorgada ante el notario Alfonso-Manuel </w:t>
      </w:r>
      <w:proofErr w:type="spellStart"/>
      <w:r w:rsidR="00336822" w:rsidRPr="00C67C91">
        <w:rPr>
          <w:rFonts w:ascii="Arial" w:hAnsi="Arial" w:cs="Arial"/>
          <w:sz w:val="20"/>
          <w:szCs w:val="20"/>
        </w:rPr>
        <w:t>Caballé</w:t>
      </w:r>
      <w:proofErr w:type="spellEnd"/>
      <w:r w:rsidR="00336822" w:rsidRPr="00C67C91">
        <w:rPr>
          <w:rFonts w:ascii="Arial" w:hAnsi="Arial" w:cs="Arial"/>
          <w:sz w:val="20"/>
          <w:szCs w:val="20"/>
        </w:rPr>
        <w:t xml:space="preserve"> Cruz, nº 741 de protocolo, inscrita inicialmente en el Registro Mercantil de S/C de Tenerife en el Tomo 3246, Folio 190, Hoja TF-50762.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Su domicilio social se encuentra establecido en el Polígono Industrial de Granadilla, s/n, 38600, San Isidro-Granadilla de Abona, Santa Cruz de Tenerife.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El objeto fundamental de la Sociedad será la comercialización, distribución e instalación, mantenimiento y la prestación de servicios informáticos y de telecomunicaciones.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La actividad actual de la empresa coincide con su objeto social.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La información del grupo de sociedades en los términos previstos en el artículo 42 del Código de Comercio, es la siguiente: </w:t>
      </w:r>
    </w:p>
    <w:p w:rsidR="00336822" w:rsidRPr="00C67C91" w:rsidRDefault="00336822" w:rsidP="00B467FA">
      <w:pPr>
        <w:pStyle w:val="CM20"/>
        <w:numPr>
          <w:ilvl w:val="0"/>
          <w:numId w:val="2"/>
        </w:numPr>
        <w:spacing w:before="120" w:after="120" w:line="260" w:lineRule="exact"/>
        <w:ind w:left="567" w:hanging="283"/>
        <w:jc w:val="both"/>
        <w:rPr>
          <w:rFonts w:ascii="Arial" w:hAnsi="Arial" w:cs="Arial"/>
          <w:sz w:val="20"/>
          <w:szCs w:val="20"/>
        </w:rPr>
      </w:pPr>
      <w:r w:rsidRPr="00C67C91">
        <w:rPr>
          <w:rFonts w:ascii="Arial" w:hAnsi="Arial" w:cs="Arial"/>
          <w:sz w:val="20"/>
          <w:szCs w:val="20"/>
        </w:rPr>
        <w:t xml:space="preserve">Sociedad dominante: </w:t>
      </w:r>
      <w:r w:rsidRPr="00C67C91">
        <w:rPr>
          <w:rFonts w:ascii="Arial" w:hAnsi="Arial" w:cs="Arial"/>
          <w:b/>
          <w:sz w:val="20"/>
          <w:szCs w:val="20"/>
        </w:rPr>
        <w:t>Instituto Tecnológico y de Energías Renovables, S</w:t>
      </w:r>
      <w:r w:rsidR="00A02770" w:rsidRPr="00C67C91">
        <w:rPr>
          <w:rFonts w:ascii="Arial" w:hAnsi="Arial" w:cs="Arial"/>
          <w:b/>
          <w:sz w:val="20"/>
          <w:szCs w:val="20"/>
        </w:rPr>
        <w:t>.A. (ITER, S.A.),</w:t>
      </w:r>
      <w:r w:rsidRPr="00C67C91">
        <w:rPr>
          <w:rFonts w:ascii="Arial" w:hAnsi="Arial" w:cs="Arial"/>
          <w:sz w:val="20"/>
          <w:szCs w:val="20"/>
        </w:rPr>
        <w:t xml:space="preserve"> con domicilio en el Polígono Industrial de Granadilla s/n, 38600 San Isidro-Granadilla de Abona, provincia de Santa Cruz de Tenerife. </w:t>
      </w:r>
    </w:p>
    <w:p w:rsidR="00336822" w:rsidRPr="00C67C91" w:rsidRDefault="00336822" w:rsidP="00B467FA">
      <w:pPr>
        <w:pStyle w:val="CM20"/>
        <w:spacing w:before="120" w:after="120" w:line="260" w:lineRule="exact"/>
        <w:ind w:left="567"/>
        <w:jc w:val="both"/>
        <w:rPr>
          <w:rFonts w:ascii="Arial" w:hAnsi="Arial" w:cs="Arial"/>
          <w:sz w:val="20"/>
          <w:szCs w:val="20"/>
        </w:rPr>
      </w:pPr>
      <w:proofErr w:type="spellStart"/>
      <w:r w:rsidRPr="00C67C91">
        <w:rPr>
          <w:rFonts w:ascii="Arial" w:hAnsi="Arial" w:cs="Arial"/>
          <w:sz w:val="20"/>
          <w:szCs w:val="20"/>
        </w:rPr>
        <w:t>Canalink</w:t>
      </w:r>
      <w:proofErr w:type="spellEnd"/>
      <w:r w:rsidRPr="00C67C91">
        <w:rPr>
          <w:rFonts w:ascii="Arial" w:hAnsi="Arial" w:cs="Arial"/>
          <w:sz w:val="20"/>
          <w:szCs w:val="20"/>
        </w:rPr>
        <w:t xml:space="preserve"> África</w:t>
      </w:r>
      <w:r w:rsidR="00A02770" w:rsidRPr="00C67C91">
        <w:rPr>
          <w:rFonts w:ascii="Arial" w:hAnsi="Arial" w:cs="Arial"/>
          <w:sz w:val="20"/>
          <w:szCs w:val="20"/>
        </w:rPr>
        <w:t>,</w:t>
      </w:r>
      <w:r w:rsidRPr="00C67C91">
        <w:rPr>
          <w:rFonts w:ascii="Arial" w:hAnsi="Arial" w:cs="Arial"/>
          <w:sz w:val="20"/>
          <w:szCs w:val="20"/>
        </w:rPr>
        <w:t xml:space="preserve"> S</w:t>
      </w:r>
      <w:r w:rsidR="00A02770" w:rsidRPr="00C67C91">
        <w:rPr>
          <w:rFonts w:ascii="Arial" w:hAnsi="Arial" w:cs="Arial"/>
          <w:sz w:val="20"/>
          <w:szCs w:val="20"/>
        </w:rPr>
        <w:t>.</w:t>
      </w:r>
      <w:r w:rsidRPr="00C67C91">
        <w:rPr>
          <w:rFonts w:ascii="Arial" w:hAnsi="Arial" w:cs="Arial"/>
          <w:sz w:val="20"/>
          <w:szCs w:val="20"/>
        </w:rPr>
        <w:t>L</w:t>
      </w:r>
      <w:r w:rsidR="00A02770" w:rsidRPr="00C67C91">
        <w:rPr>
          <w:rFonts w:ascii="Arial" w:hAnsi="Arial" w:cs="Arial"/>
          <w:sz w:val="20"/>
          <w:szCs w:val="20"/>
        </w:rPr>
        <w:t>.U.</w:t>
      </w:r>
      <w:r w:rsidRPr="00C67C91">
        <w:rPr>
          <w:rFonts w:ascii="Arial" w:hAnsi="Arial" w:cs="Arial"/>
          <w:sz w:val="20"/>
          <w:szCs w:val="20"/>
        </w:rPr>
        <w:t xml:space="preserve"> forma parte del perímetro de consolidación del </w:t>
      </w:r>
      <w:r w:rsidR="00A02770" w:rsidRPr="00C67C91">
        <w:rPr>
          <w:rFonts w:ascii="Arial" w:hAnsi="Arial" w:cs="Arial"/>
          <w:sz w:val="20"/>
          <w:szCs w:val="20"/>
        </w:rPr>
        <w:t>ITER,</w:t>
      </w:r>
      <w:r w:rsidRPr="00C67C91">
        <w:rPr>
          <w:rFonts w:ascii="Arial" w:hAnsi="Arial" w:cs="Arial"/>
          <w:sz w:val="20"/>
          <w:szCs w:val="20"/>
        </w:rPr>
        <w:t xml:space="preserve"> S.A., que al cierre del ejercicio poseía el 100% de las participaciones. Se integra en la consolidación de esta Sociedad bajo el método de integración global. </w:t>
      </w:r>
    </w:p>
    <w:p w:rsidR="00336822" w:rsidRPr="00C67C91" w:rsidRDefault="00336822" w:rsidP="00203EFC">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La moneda funcional con la que opera la empresa es el euro. Para la formulación de los estados financieros en euros se han seguido los criterios establecidos en el Plan General Contable tal y como figura en el apartado 3. Normas de registro y valoración. </w:t>
      </w:r>
    </w:p>
    <w:p w:rsidR="00DE7BF0" w:rsidRPr="00C67C91" w:rsidRDefault="00336822" w:rsidP="00203EFC">
      <w:pPr>
        <w:pStyle w:val="CM20"/>
        <w:spacing w:before="240" w:after="120"/>
        <w:ind w:left="284" w:hanging="284"/>
        <w:jc w:val="both"/>
        <w:rPr>
          <w:rFonts w:ascii="Arial" w:hAnsi="Arial" w:cs="Arial"/>
          <w:b/>
          <w:bCs/>
          <w:sz w:val="20"/>
          <w:szCs w:val="20"/>
        </w:rPr>
      </w:pPr>
      <w:r w:rsidRPr="00C67C91">
        <w:rPr>
          <w:rFonts w:ascii="Arial" w:hAnsi="Arial" w:cs="Arial"/>
          <w:b/>
          <w:bCs/>
          <w:sz w:val="20"/>
          <w:szCs w:val="20"/>
        </w:rPr>
        <w:t>2.-</w:t>
      </w:r>
      <w:r w:rsidRPr="00C67C91">
        <w:rPr>
          <w:rFonts w:ascii="Arial" w:hAnsi="Arial" w:cs="Arial"/>
          <w:b/>
          <w:bCs/>
          <w:sz w:val="20"/>
          <w:szCs w:val="20"/>
        </w:rPr>
        <w:tab/>
        <w:t xml:space="preserve">BASES DE PRESENTACIÓN DE LAS CUENTAS ANUALES </w:t>
      </w:r>
    </w:p>
    <w:p w:rsidR="00DE7BF0" w:rsidRPr="00C67C91" w:rsidRDefault="00A02770" w:rsidP="00203EFC">
      <w:pPr>
        <w:pStyle w:val="CM20"/>
        <w:spacing w:before="120" w:after="120" w:line="260" w:lineRule="exact"/>
        <w:jc w:val="both"/>
        <w:rPr>
          <w:rFonts w:ascii="Arial" w:hAnsi="Arial" w:cs="Arial"/>
          <w:b/>
          <w:bCs/>
          <w:sz w:val="20"/>
          <w:szCs w:val="20"/>
          <w:u w:val="single"/>
        </w:rPr>
      </w:pPr>
      <w:r w:rsidRPr="00C67C91">
        <w:rPr>
          <w:rFonts w:ascii="Arial" w:hAnsi="Arial" w:cs="Arial"/>
          <w:b/>
          <w:bCs/>
          <w:sz w:val="20"/>
          <w:szCs w:val="20"/>
          <w:u w:val="single"/>
        </w:rPr>
        <w:t>2.1 Imagen fiel</w:t>
      </w:r>
    </w:p>
    <w:p w:rsidR="004A6AAC" w:rsidRPr="00C67C91" w:rsidRDefault="004A6AAC" w:rsidP="00203EFC">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Las </w:t>
      </w:r>
      <w:r w:rsidR="00A02770" w:rsidRPr="00C67C91">
        <w:rPr>
          <w:rFonts w:ascii="Arial" w:hAnsi="Arial" w:cs="Arial"/>
          <w:sz w:val="20"/>
          <w:szCs w:val="20"/>
        </w:rPr>
        <w:t xml:space="preserve">cuentas anuales abreviadas del ejercicio 2020 han sido obtenidas a partir de los registros contables de la </w:t>
      </w:r>
      <w:r w:rsidR="002A6F2C" w:rsidRPr="00C67C91">
        <w:rPr>
          <w:rFonts w:ascii="Arial" w:hAnsi="Arial" w:cs="Arial"/>
          <w:sz w:val="20"/>
          <w:szCs w:val="20"/>
        </w:rPr>
        <w:t>S</w:t>
      </w:r>
      <w:r w:rsidR="00A02770" w:rsidRPr="00C67C91">
        <w:rPr>
          <w:rFonts w:ascii="Arial" w:hAnsi="Arial" w:cs="Arial"/>
          <w:sz w:val="20"/>
          <w:szCs w:val="20"/>
        </w:rPr>
        <w:t xml:space="preserve">ociedad y se </w:t>
      </w:r>
      <w:r w:rsidRPr="00C67C91">
        <w:rPr>
          <w:rFonts w:ascii="Arial" w:hAnsi="Arial" w:cs="Arial"/>
          <w:sz w:val="20"/>
          <w:szCs w:val="20"/>
        </w:rPr>
        <w:t>han formulado de acuerdo con la legislación mercantil vigente y las normas establecidas en el Plan General de Contabilidad aprobado por el Real Decreto 1514/2007, de 16 de noviembre, aplicando las modificaciones introducidas al mismo mediante el Real Decreto 1159/2010, de 17 de septiembre, y Real Decreto 602/2016, de 2 de diciembre, con objeto de mostrar la imagen fiel del patrimonio, de la situación financiera y de los resultados de la Sociedad.</w:t>
      </w:r>
    </w:p>
    <w:p w:rsidR="00336822" w:rsidRPr="00C67C91" w:rsidRDefault="00336822" w:rsidP="00203EFC">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No existen razones excepcionales por las que, para mostrar la imagen fiel, no se hayan aplicado disposiciones legales en materia contable. </w:t>
      </w:r>
    </w:p>
    <w:p w:rsidR="00336822" w:rsidRPr="00C67C91" w:rsidRDefault="00336822" w:rsidP="00B467FA">
      <w:pPr>
        <w:pStyle w:val="CM20"/>
        <w:keepNext/>
        <w:keepLines/>
        <w:spacing w:before="120" w:after="120" w:line="260" w:lineRule="exact"/>
        <w:jc w:val="both"/>
        <w:rPr>
          <w:rFonts w:ascii="Arial" w:hAnsi="Arial" w:cs="Arial"/>
          <w:sz w:val="20"/>
          <w:szCs w:val="20"/>
        </w:rPr>
      </w:pPr>
      <w:r w:rsidRPr="00C67C91">
        <w:rPr>
          <w:rFonts w:ascii="Arial" w:hAnsi="Arial" w:cs="Arial"/>
          <w:sz w:val="20"/>
          <w:szCs w:val="20"/>
        </w:rPr>
        <w:lastRenderedPageBreak/>
        <w:t xml:space="preserve">En el caso de que sea necesario aportar informaciones complementarias, cuando la aplicación de las disposiciones legales no sea suficiente para mostrar la imagen fiel, se indicará su ubicación en la memoria. </w:t>
      </w:r>
    </w:p>
    <w:p w:rsidR="00336822" w:rsidRPr="00C67C91" w:rsidRDefault="00336822" w:rsidP="00203EFC">
      <w:pPr>
        <w:pStyle w:val="CM22"/>
        <w:spacing w:before="120" w:line="260" w:lineRule="exact"/>
        <w:jc w:val="both"/>
        <w:rPr>
          <w:rFonts w:ascii="Arial" w:hAnsi="Arial" w:cs="Arial"/>
          <w:sz w:val="20"/>
          <w:szCs w:val="20"/>
        </w:rPr>
      </w:pPr>
      <w:r w:rsidRPr="00C67C91">
        <w:rPr>
          <w:rFonts w:ascii="Arial" w:hAnsi="Arial" w:cs="Arial"/>
          <w:sz w:val="20"/>
          <w:szCs w:val="20"/>
        </w:rPr>
        <w:t xml:space="preserve">Las </w:t>
      </w:r>
      <w:r w:rsidR="002A6F2C" w:rsidRPr="00C67C91">
        <w:rPr>
          <w:rFonts w:ascii="Arial" w:hAnsi="Arial" w:cs="Arial"/>
          <w:sz w:val="20"/>
          <w:szCs w:val="20"/>
        </w:rPr>
        <w:t xml:space="preserve">cuentas anuales abreviadas </w:t>
      </w:r>
      <w:r w:rsidRPr="00C67C91">
        <w:rPr>
          <w:rFonts w:ascii="Arial" w:hAnsi="Arial" w:cs="Arial"/>
          <w:sz w:val="20"/>
          <w:szCs w:val="20"/>
        </w:rPr>
        <w:t xml:space="preserve">adjuntas se someterán a la aprobación por el socio único, estimándose que serán aprobadas sin modificación alguna. </w:t>
      </w:r>
    </w:p>
    <w:p w:rsidR="00336822" w:rsidRPr="00C67C91" w:rsidRDefault="00336822" w:rsidP="00203EFC">
      <w:pPr>
        <w:pStyle w:val="CM20"/>
        <w:spacing w:before="120" w:after="120" w:line="260" w:lineRule="exact"/>
        <w:jc w:val="both"/>
        <w:rPr>
          <w:rFonts w:ascii="Arial" w:hAnsi="Arial" w:cs="Arial"/>
          <w:sz w:val="20"/>
          <w:szCs w:val="20"/>
        </w:rPr>
      </w:pPr>
      <w:r w:rsidRPr="00C67C91">
        <w:rPr>
          <w:rFonts w:ascii="Arial" w:hAnsi="Arial" w:cs="Arial"/>
          <w:sz w:val="20"/>
          <w:szCs w:val="20"/>
        </w:rPr>
        <w:t>Se le aplica la normativa establecida en la Ley de Sociedades de Capital, cuyo texto refundido se aprobó por Real Decreto Legislativo 1/2010 de 2 de Julio, la ley de Sociedades de Capital, Código de Comercio y</w:t>
      </w:r>
      <w:r w:rsidR="002A6F2C" w:rsidRPr="00C67C91">
        <w:rPr>
          <w:rFonts w:ascii="Arial" w:hAnsi="Arial" w:cs="Arial"/>
          <w:sz w:val="20"/>
          <w:szCs w:val="20"/>
        </w:rPr>
        <w:t xml:space="preserve"> disposiciones complementarias.</w:t>
      </w:r>
    </w:p>
    <w:p w:rsidR="00DE7BF0" w:rsidRPr="00C67C91" w:rsidRDefault="002A6F2C" w:rsidP="00203EFC">
      <w:pPr>
        <w:pStyle w:val="CM20"/>
        <w:spacing w:before="120" w:after="120" w:line="260" w:lineRule="exact"/>
        <w:jc w:val="both"/>
        <w:rPr>
          <w:rFonts w:ascii="Arial" w:hAnsi="Arial" w:cs="Arial"/>
          <w:b/>
          <w:bCs/>
          <w:sz w:val="20"/>
          <w:szCs w:val="20"/>
          <w:u w:val="single"/>
        </w:rPr>
      </w:pPr>
      <w:r w:rsidRPr="00C67C91">
        <w:rPr>
          <w:rFonts w:ascii="Arial" w:hAnsi="Arial" w:cs="Arial"/>
          <w:b/>
          <w:bCs/>
          <w:sz w:val="20"/>
          <w:szCs w:val="20"/>
          <w:u w:val="single"/>
        </w:rPr>
        <w:t xml:space="preserve">2.2 </w:t>
      </w:r>
      <w:r w:rsidR="00336822" w:rsidRPr="00C67C91">
        <w:rPr>
          <w:rFonts w:ascii="Arial" w:hAnsi="Arial" w:cs="Arial"/>
          <w:b/>
          <w:bCs/>
          <w:sz w:val="20"/>
          <w:szCs w:val="20"/>
          <w:u w:val="single"/>
        </w:rPr>
        <w:t>Principios Cont</w:t>
      </w:r>
      <w:r w:rsidRPr="00C67C91">
        <w:rPr>
          <w:rFonts w:ascii="Arial" w:hAnsi="Arial" w:cs="Arial"/>
          <w:b/>
          <w:bCs/>
          <w:sz w:val="20"/>
          <w:szCs w:val="20"/>
          <w:u w:val="single"/>
        </w:rPr>
        <w:t>ables no obligatorios aplicados</w:t>
      </w:r>
    </w:p>
    <w:p w:rsidR="00DE7BF0" w:rsidRPr="00C67C91" w:rsidRDefault="00336822" w:rsidP="00203EFC">
      <w:pPr>
        <w:pStyle w:val="CM23"/>
        <w:spacing w:before="120" w:after="120" w:line="260" w:lineRule="exact"/>
        <w:jc w:val="both"/>
        <w:rPr>
          <w:rFonts w:ascii="Arial" w:hAnsi="Arial" w:cs="Arial"/>
          <w:sz w:val="20"/>
          <w:szCs w:val="20"/>
        </w:rPr>
      </w:pPr>
      <w:r w:rsidRPr="00C67C91">
        <w:rPr>
          <w:rFonts w:ascii="Arial" w:hAnsi="Arial" w:cs="Arial"/>
          <w:sz w:val="20"/>
          <w:szCs w:val="20"/>
        </w:rPr>
        <w:t xml:space="preserve">No se han aplicado principios contables no obligatorios </w:t>
      </w:r>
    </w:p>
    <w:p w:rsidR="004A6AAC" w:rsidRPr="00C67C91" w:rsidRDefault="002A6F2C" w:rsidP="00203EFC">
      <w:pPr>
        <w:pStyle w:val="CM23"/>
        <w:spacing w:before="120" w:after="120" w:line="260" w:lineRule="exact"/>
        <w:jc w:val="both"/>
        <w:rPr>
          <w:rFonts w:ascii="Arial" w:hAnsi="Arial" w:cs="Arial"/>
          <w:b/>
          <w:bCs/>
          <w:sz w:val="20"/>
          <w:szCs w:val="20"/>
          <w:u w:val="single"/>
        </w:rPr>
      </w:pPr>
      <w:r w:rsidRPr="00C67C91">
        <w:rPr>
          <w:rFonts w:ascii="Arial" w:hAnsi="Arial" w:cs="Arial"/>
          <w:b/>
          <w:bCs/>
          <w:sz w:val="20"/>
          <w:szCs w:val="20"/>
          <w:u w:val="single"/>
        </w:rPr>
        <w:t xml:space="preserve">2.3 </w:t>
      </w:r>
      <w:r w:rsidR="00336822" w:rsidRPr="00C67C91">
        <w:rPr>
          <w:rFonts w:ascii="Arial" w:hAnsi="Arial" w:cs="Arial"/>
          <w:b/>
          <w:bCs/>
          <w:sz w:val="20"/>
          <w:szCs w:val="20"/>
          <w:u w:val="single"/>
        </w:rPr>
        <w:t>Aspectos críticos de la valoración y</w:t>
      </w:r>
      <w:r w:rsidR="004A6AAC" w:rsidRPr="00C67C91">
        <w:rPr>
          <w:rFonts w:ascii="Arial" w:hAnsi="Arial" w:cs="Arial"/>
          <w:b/>
          <w:bCs/>
          <w:sz w:val="20"/>
          <w:szCs w:val="20"/>
          <w:u w:val="single"/>
        </w:rPr>
        <w:t xml:space="preserve"> estimación de la incertidumbre</w:t>
      </w:r>
    </w:p>
    <w:p w:rsidR="00834BC2" w:rsidRPr="005222BE" w:rsidRDefault="002A6F2C" w:rsidP="00203EFC">
      <w:pPr>
        <w:pStyle w:val="CM22"/>
        <w:spacing w:before="120" w:line="260" w:lineRule="exact"/>
        <w:jc w:val="both"/>
        <w:rPr>
          <w:rFonts w:ascii="Arial" w:hAnsi="Arial" w:cs="Arial"/>
          <w:sz w:val="20"/>
          <w:szCs w:val="20"/>
        </w:rPr>
      </w:pPr>
      <w:r w:rsidRPr="005222BE">
        <w:rPr>
          <w:rFonts w:ascii="Arial" w:hAnsi="Arial" w:cs="Arial"/>
          <w:sz w:val="20"/>
          <w:szCs w:val="20"/>
        </w:rPr>
        <w:t xml:space="preserve">La Sociedad ha obtenido un resultado </w:t>
      </w:r>
      <w:r w:rsidR="00B467FA" w:rsidRPr="005222BE">
        <w:rPr>
          <w:rFonts w:ascii="Arial" w:hAnsi="Arial" w:cs="Arial"/>
          <w:sz w:val="20"/>
          <w:szCs w:val="20"/>
        </w:rPr>
        <w:t xml:space="preserve">negativo </w:t>
      </w:r>
      <w:r w:rsidRPr="005222BE">
        <w:rPr>
          <w:rFonts w:ascii="Arial" w:hAnsi="Arial" w:cs="Arial"/>
          <w:sz w:val="20"/>
          <w:szCs w:val="20"/>
        </w:rPr>
        <w:t>de 41.093,13 euros en el ejercicio 2020 (beneficios por 185.222,62 euros en 2019)</w:t>
      </w:r>
      <w:r w:rsidR="00B467FA" w:rsidRPr="005222BE">
        <w:rPr>
          <w:rFonts w:ascii="Arial" w:hAnsi="Arial" w:cs="Arial"/>
          <w:sz w:val="20"/>
          <w:szCs w:val="20"/>
        </w:rPr>
        <w:t>, con</w:t>
      </w:r>
      <w:r w:rsidRPr="005222BE">
        <w:rPr>
          <w:rFonts w:ascii="Arial" w:hAnsi="Arial" w:cs="Arial"/>
          <w:sz w:val="20"/>
          <w:szCs w:val="20"/>
        </w:rPr>
        <w:t xml:space="preserve"> un fondo de maniobra positivo </w:t>
      </w:r>
      <w:r w:rsidR="00B467FA" w:rsidRPr="005222BE">
        <w:rPr>
          <w:rFonts w:ascii="Arial" w:hAnsi="Arial" w:cs="Arial"/>
          <w:sz w:val="20"/>
          <w:szCs w:val="20"/>
        </w:rPr>
        <w:t>superior a 4,6 millones de</w:t>
      </w:r>
      <w:r w:rsidRPr="005222BE">
        <w:rPr>
          <w:rFonts w:ascii="Arial" w:hAnsi="Arial" w:cs="Arial"/>
          <w:sz w:val="20"/>
          <w:szCs w:val="20"/>
        </w:rPr>
        <w:t xml:space="preserve"> euros (</w:t>
      </w:r>
      <w:r w:rsidR="00B467FA" w:rsidRPr="005222BE">
        <w:rPr>
          <w:rFonts w:ascii="Arial" w:hAnsi="Arial" w:cs="Arial"/>
          <w:sz w:val="20"/>
          <w:szCs w:val="20"/>
        </w:rPr>
        <w:t>4 millones de</w:t>
      </w:r>
      <w:r w:rsidRPr="005222BE">
        <w:rPr>
          <w:rFonts w:ascii="Arial" w:hAnsi="Arial" w:cs="Arial"/>
          <w:sz w:val="20"/>
          <w:szCs w:val="20"/>
        </w:rPr>
        <w:t xml:space="preserve"> euros en el ejercicio 2019), generadas por las obligaciones contraídas en el desarrollo de su actividad.</w:t>
      </w:r>
    </w:p>
    <w:p w:rsidR="00834BC2" w:rsidRPr="005222BE" w:rsidRDefault="00834BC2" w:rsidP="00203EFC">
      <w:pPr>
        <w:pStyle w:val="CM22"/>
        <w:spacing w:before="120" w:line="260" w:lineRule="exact"/>
        <w:jc w:val="both"/>
        <w:rPr>
          <w:rFonts w:ascii="Arial" w:hAnsi="Arial" w:cs="Arial"/>
          <w:sz w:val="20"/>
          <w:szCs w:val="20"/>
        </w:rPr>
      </w:pPr>
      <w:r w:rsidRPr="005222BE">
        <w:rPr>
          <w:rFonts w:ascii="Arial" w:hAnsi="Arial" w:cs="Arial"/>
          <w:sz w:val="20"/>
          <w:szCs w:val="20"/>
        </w:rPr>
        <w:t>Estas pérdidas generadas se deben a situaciones excepcionales, contand</w:t>
      </w:r>
      <w:r w:rsidR="00695595" w:rsidRPr="005222BE">
        <w:rPr>
          <w:rFonts w:ascii="Arial" w:hAnsi="Arial" w:cs="Arial"/>
          <w:sz w:val="20"/>
          <w:szCs w:val="20"/>
        </w:rPr>
        <w:t>o con el apoyo de su accionista</w:t>
      </w:r>
      <w:r w:rsidRPr="005222BE">
        <w:rPr>
          <w:rFonts w:ascii="Arial" w:hAnsi="Arial" w:cs="Arial"/>
          <w:sz w:val="20"/>
          <w:szCs w:val="20"/>
        </w:rPr>
        <w:t>.</w:t>
      </w:r>
    </w:p>
    <w:p w:rsidR="00834BC2" w:rsidRPr="005222BE" w:rsidRDefault="00855E6B" w:rsidP="00203EFC">
      <w:pPr>
        <w:pStyle w:val="CM22"/>
        <w:spacing w:before="120" w:line="260" w:lineRule="exact"/>
        <w:jc w:val="both"/>
        <w:rPr>
          <w:rFonts w:ascii="Arial" w:hAnsi="Arial" w:cs="Arial"/>
          <w:sz w:val="20"/>
          <w:szCs w:val="20"/>
        </w:rPr>
      </w:pPr>
      <w:r w:rsidRPr="005222BE">
        <w:rPr>
          <w:rFonts w:ascii="Arial" w:hAnsi="Arial" w:cs="Arial"/>
          <w:sz w:val="20"/>
          <w:szCs w:val="20"/>
        </w:rPr>
        <w:t xml:space="preserve">El Administrador Único </w:t>
      </w:r>
      <w:r w:rsidR="00834BC2" w:rsidRPr="005222BE">
        <w:rPr>
          <w:rFonts w:ascii="Arial" w:hAnsi="Arial" w:cs="Arial"/>
          <w:sz w:val="20"/>
          <w:szCs w:val="20"/>
        </w:rPr>
        <w:t xml:space="preserve">ha elaborado las presentes cuentas anuales abreviadas bajo el principio de empresa en funcionamiento, habiendo tenido en consideración la situación actual del COVID-19 así como sus posibles efectos en la economía general y en su caso en particular. Consideran que no existe riesgo de continuidad de la actividad, sin que exista ningún tipo de riesgo importante que pueda suponer cambios significativos en el valor de los activos o pasivos en el ejercicio siguiente. </w:t>
      </w:r>
    </w:p>
    <w:p w:rsidR="00336822" w:rsidRPr="00C67C91" w:rsidRDefault="00336822" w:rsidP="00203EFC">
      <w:pPr>
        <w:pStyle w:val="CM22"/>
        <w:spacing w:before="120" w:line="260" w:lineRule="exact"/>
        <w:jc w:val="both"/>
        <w:rPr>
          <w:rFonts w:ascii="Arial" w:hAnsi="Arial" w:cs="Arial"/>
          <w:sz w:val="20"/>
          <w:szCs w:val="20"/>
        </w:rPr>
      </w:pPr>
      <w:r w:rsidRPr="00C67C91">
        <w:rPr>
          <w:rFonts w:ascii="Arial" w:hAnsi="Arial" w:cs="Arial"/>
          <w:sz w:val="20"/>
          <w:szCs w:val="20"/>
        </w:rPr>
        <w:t>La información contenida en estas cuentas a</w:t>
      </w:r>
      <w:r w:rsidR="00F53014" w:rsidRPr="00C67C91">
        <w:rPr>
          <w:rFonts w:ascii="Arial" w:hAnsi="Arial" w:cs="Arial"/>
          <w:sz w:val="20"/>
          <w:szCs w:val="20"/>
        </w:rPr>
        <w:t xml:space="preserve">nuales </w:t>
      </w:r>
      <w:r w:rsidR="00855E6B">
        <w:rPr>
          <w:rFonts w:ascii="Arial" w:hAnsi="Arial" w:cs="Arial"/>
          <w:sz w:val="20"/>
          <w:szCs w:val="20"/>
        </w:rPr>
        <w:t xml:space="preserve">abreviadas </w:t>
      </w:r>
      <w:r w:rsidR="00F53014" w:rsidRPr="00C67C91">
        <w:rPr>
          <w:rFonts w:ascii="Arial" w:hAnsi="Arial" w:cs="Arial"/>
          <w:sz w:val="20"/>
          <w:szCs w:val="20"/>
        </w:rPr>
        <w:t xml:space="preserve">es responsabilidad del Administrador Único </w:t>
      </w:r>
      <w:r w:rsidR="002A6F2C" w:rsidRPr="00C67C91">
        <w:rPr>
          <w:rFonts w:ascii="Arial" w:hAnsi="Arial" w:cs="Arial"/>
          <w:sz w:val="20"/>
          <w:szCs w:val="20"/>
        </w:rPr>
        <w:t>de la Sociedad.</w:t>
      </w:r>
    </w:p>
    <w:p w:rsidR="00336822" w:rsidRPr="00C67C91" w:rsidRDefault="00336822" w:rsidP="00203EFC">
      <w:pPr>
        <w:pStyle w:val="CM22"/>
        <w:spacing w:before="120" w:line="260" w:lineRule="exact"/>
        <w:jc w:val="both"/>
        <w:rPr>
          <w:rFonts w:ascii="Arial" w:hAnsi="Arial" w:cs="Arial"/>
          <w:sz w:val="20"/>
          <w:szCs w:val="20"/>
        </w:rPr>
      </w:pPr>
      <w:r w:rsidRPr="00C67C91">
        <w:rPr>
          <w:rFonts w:ascii="Arial" w:hAnsi="Arial" w:cs="Arial"/>
          <w:sz w:val="20"/>
          <w:szCs w:val="20"/>
        </w:rPr>
        <w:t xml:space="preserve">En las cuentas anuales </w:t>
      </w:r>
      <w:r w:rsidR="00F53014" w:rsidRPr="00C67C91">
        <w:rPr>
          <w:rFonts w:ascii="Arial" w:hAnsi="Arial" w:cs="Arial"/>
          <w:sz w:val="20"/>
          <w:szCs w:val="20"/>
        </w:rPr>
        <w:t xml:space="preserve">abreviadas </w:t>
      </w:r>
      <w:r w:rsidRPr="00C67C91">
        <w:rPr>
          <w:rFonts w:ascii="Arial" w:hAnsi="Arial" w:cs="Arial"/>
          <w:sz w:val="20"/>
          <w:szCs w:val="20"/>
        </w:rPr>
        <w:t>adjuntas se han utilizado ocasionalmen</w:t>
      </w:r>
      <w:r w:rsidR="00F53014" w:rsidRPr="00C67C91">
        <w:rPr>
          <w:rFonts w:ascii="Arial" w:hAnsi="Arial" w:cs="Arial"/>
          <w:sz w:val="20"/>
          <w:szCs w:val="20"/>
        </w:rPr>
        <w:t>te estimaciones realizadas por el Administrador</w:t>
      </w:r>
      <w:r w:rsidRPr="00C67C91">
        <w:rPr>
          <w:rFonts w:ascii="Arial" w:hAnsi="Arial" w:cs="Arial"/>
          <w:sz w:val="20"/>
          <w:szCs w:val="20"/>
        </w:rPr>
        <w:t xml:space="preserve"> para cuantificar algunos de los activos, pasivos, ingresos, gastos y compromisos que figuran registrados en ella. Básicamente, estas estimaciones se refieren a: </w:t>
      </w:r>
    </w:p>
    <w:p w:rsidR="00336822" w:rsidRPr="00C67C91" w:rsidRDefault="00336822" w:rsidP="00203EFC">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-Vida útil de los activos materiales e intangibles: </w:t>
      </w:r>
    </w:p>
    <w:p w:rsidR="00336822" w:rsidRPr="00C67C91" w:rsidRDefault="00336822" w:rsidP="00203EFC">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Es posible que, a pesar de que estas estimaciones se realizaron en función de la mejor información disponible a la fecha de formulación de estas cuentas anuales </w:t>
      </w:r>
      <w:r w:rsidR="002A6F2C" w:rsidRPr="00C67C91">
        <w:rPr>
          <w:rFonts w:ascii="Arial" w:hAnsi="Arial" w:cs="Arial"/>
          <w:sz w:val="20"/>
          <w:szCs w:val="20"/>
        </w:rPr>
        <w:t xml:space="preserve">abreviadas </w:t>
      </w:r>
      <w:r w:rsidRPr="00C67C91">
        <w:rPr>
          <w:rFonts w:ascii="Arial" w:hAnsi="Arial" w:cs="Arial"/>
          <w:sz w:val="20"/>
          <w:szCs w:val="20"/>
        </w:rPr>
        <w:t xml:space="preserve">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 </w:t>
      </w:r>
    </w:p>
    <w:p w:rsidR="00336822" w:rsidRPr="00C67C91" w:rsidRDefault="002A6F2C" w:rsidP="00850FC5">
      <w:pPr>
        <w:pStyle w:val="CM22"/>
        <w:keepNext/>
        <w:keepLines/>
        <w:spacing w:before="120" w:after="80" w:line="260" w:lineRule="exact"/>
        <w:jc w:val="both"/>
        <w:rPr>
          <w:rFonts w:ascii="Arial" w:hAnsi="Arial" w:cs="Arial"/>
          <w:sz w:val="20"/>
          <w:szCs w:val="20"/>
        </w:rPr>
      </w:pPr>
      <w:r w:rsidRPr="00C67C91">
        <w:rPr>
          <w:rFonts w:ascii="Arial" w:hAnsi="Arial" w:cs="Arial"/>
          <w:b/>
          <w:bCs/>
          <w:sz w:val="20"/>
          <w:szCs w:val="20"/>
          <w:u w:val="single"/>
        </w:rPr>
        <w:lastRenderedPageBreak/>
        <w:t xml:space="preserve">2.4 </w:t>
      </w:r>
      <w:r w:rsidR="00336822" w:rsidRPr="00C67C91">
        <w:rPr>
          <w:rFonts w:ascii="Arial" w:hAnsi="Arial" w:cs="Arial"/>
          <w:b/>
          <w:bCs/>
          <w:sz w:val="20"/>
          <w:szCs w:val="20"/>
          <w:u w:val="single"/>
        </w:rPr>
        <w:t>Comparación de la información</w:t>
      </w:r>
    </w:p>
    <w:p w:rsidR="00336822" w:rsidRPr="00C67C91" w:rsidRDefault="00F53014" w:rsidP="00B467FA">
      <w:pPr>
        <w:pStyle w:val="CM20"/>
        <w:keepNext/>
        <w:keepLines/>
        <w:spacing w:before="120" w:after="120" w:line="260" w:lineRule="exact"/>
        <w:jc w:val="both"/>
        <w:rPr>
          <w:rFonts w:ascii="Arial" w:hAnsi="Arial" w:cs="Arial"/>
          <w:sz w:val="20"/>
          <w:szCs w:val="20"/>
        </w:rPr>
      </w:pPr>
      <w:r w:rsidRPr="00C67C91">
        <w:rPr>
          <w:rFonts w:ascii="Arial" w:hAnsi="Arial" w:cs="Arial"/>
          <w:sz w:val="20"/>
          <w:szCs w:val="20"/>
        </w:rPr>
        <w:t>Las cuentas anuales abreviadas presentan a efectos comparativos, con cada una de las partidas del balance de situación abreviado y de la cuenta de pérdidas y ganancias abreviadas, además de las cifras del ejercicio 20</w:t>
      </w:r>
      <w:r w:rsidR="00FA495B" w:rsidRPr="00C67C91">
        <w:rPr>
          <w:rFonts w:ascii="Arial" w:hAnsi="Arial" w:cs="Arial"/>
          <w:sz w:val="20"/>
          <w:szCs w:val="20"/>
        </w:rPr>
        <w:t>20</w:t>
      </w:r>
      <w:r w:rsidRPr="00C67C91">
        <w:rPr>
          <w:rFonts w:ascii="Arial" w:hAnsi="Arial" w:cs="Arial"/>
          <w:sz w:val="20"/>
          <w:szCs w:val="20"/>
        </w:rPr>
        <w:t>, las correspondientes al ejercicio anterior. Asimismo, la información contenida en esta memoria abreviada referida al ejercicio 20</w:t>
      </w:r>
      <w:r w:rsidR="00FA495B" w:rsidRPr="00C67C91">
        <w:rPr>
          <w:rFonts w:ascii="Arial" w:hAnsi="Arial" w:cs="Arial"/>
          <w:sz w:val="20"/>
          <w:szCs w:val="20"/>
        </w:rPr>
        <w:t>20</w:t>
      </w:r>
      <w:r w:rsidRPr="00C67C91">
        <w:rPr>
          <w:rFonts w:ascii="Arial" w:hAnsi="Arial" w:cs="Arial"/>
          <w:sz w:val="20"/>
          <w:szCs w:val="20"/>
        </w:rPr>
        <w:t xml:space="preserve"> se presenta, a efectos comparativos con la información del ejercicio 201</w:t>
      </w:r>
      <w:r w:rsidR="00FA495B" w:rsidRPr="00C67C91">
        <w:rPr>
          <w:rFonts w:ascii="Arial" w:hAnsi="Arial" w:cs="Arial"/>
          <w:sz w:val="20"/>
          <w:szCs w:val="20"/>
        </w:rPr>
        <w:t>9</w:t>
      </w:r>
      <w:r w:rsidRPr="00C67C91">
        <w:rPr>
          <w:rFonts w:ascii="Arial" w:hAnsi="Arial" w:cs="Arial"/>
          <w:sz w:val="20"/>
          <w:szCs w:val="20"/>
        </w:rPr>
        <w:t>.</w:t>
      </w:r>
    </w:p>
    <w:p w:rsidR="00336822" w:rsidRPr="00C67C91" w:rsidRDefault="00336822" w:rsidP="00C438D9">
      <w:pPr>
        <w:pStyle w:val="CM20"/>
        <w:spacing w:after="160"/>
        <w:jc w:val="both"/>
        <w:rPr>
          <w:rFonts w:ascii="Arial" w:hAnsi="Arial" w:cs="Arial"/>
          <w:sz w:val="20"/>
          <w:szCs w:val="20"/>
        </w:rPr>
      </w:pPr>
      <w:r w:rsidRPr="00C67C91">
        <w:rPr>
          <w:rFonts w:ascii="Arial" w:hAnsi="Arial" w:cs="Arial"/>
          <w:sz w:val="20"/>
          <w:szCs w:val="20"/>
        </w:rPr>
        <w:t>La Sociedad no está obligada a auditar las cuentas anuales de los ejercicios 20</w:t>
      </w:r>
      <w:r w:rsidR="00FA495B" w:rsidRPr="00C67C91">
        <w:rPr>
          <w:rFonts w:ascii="Arial" w:hAnsi="Arial" w:cs="Arial"/>
          <w:sz w:val="20"/>
          <w:szCs w:val="20"/>
        </w:rPr>
        <w:t>20</w:t>
      </w:r>
      <w:r w:rsidRPr="00C67C91">
        <w:rPr>
          <w:rFonts w:ascii="Arial" w:hAnsi="Arial" w:cs="Arial"/>
          <w:sz w:val="20"/>
          <w:szCs w:val="20"/>
        </w:rPr>
        <w:t xml:space="preserve"> y </w:t>
      </w:r>
      <w:r w:rsidR="002F7219" w:rsidRPr="00C67C91">
        <w:rPr>
          <w:rFonts w:ascii="Arial" w:hAnsi="Arial" w:cs="Arial"/>
          <w:sz w:val="20"/>
          <w:szCs w:val="20"/>
        </w:rPr>
        <w:t>201</w:t>
      </w:r>
      <w:r w:rsidR="00FA495B" w:rsidRPr="00C67C91">
        <w:rPr>
          <w:rFonts w:ascii="Arial" w:hAnsi="Arial" w:cs="Arial"/>
          <w:sz w:val="20"/>
          <w:szCs w:val="20"/>
        </w:rPr>
        <w:t>9</w:t>
      </w:r>
      <w:r w:rsidRPr="00C67C91">
        <w:rPr>
          <w:rFonts w:ascii="Arial" w:hAnsi="Arial" w:cs="Arial"/>
          <w:sz w:val="20"/>
          <w:szCs w:val="20"/>
        </w:rPr>
        <w:t>.</w:t>
      </w:r>
    </w:p>
    <w:p w:rsidR="00F53014" w:rsidRPr="00C67C91" w:rsidRDefault="002A6F2C" w:rsidP="00850FC5">
      <w:pPr>
        <w:pStyle w:val="CM20"/>
        <w:spacing w:before="120" w:after="80" w:line="260" w:lineRule="exact"/>
        <w:jc w:val="both"/>
        <w:rPr>
          <w:rFonts w:ascii="Arial" w:hAnsi="Arial" w:cs="Arial"/>
          <w:b/>
          <w:bCs/>
          <w:sz w:val="20"/>
          <w:szCs w:val="20"/>
          <w:u w:val="single"/>
        </w:rPr>
      </w:pPr>
      <w:r w:rsidRPr="00C67C91">
        <w:rPr>
          <w:rFonts w:ascii="Arial" w:hAnsi="Arial" w:cs="Arial"/>
          <w:b/>
          <w:bCs/>
          <w:sz w:val="20"/>
          <w:szCs w:val="20"/>
          <w:u w:val="single"/>
        </w:rPr>
        <w:t xml:space="preserve">2.5 </w:t>
      </w:r>
      <w:r w:rsidR="00336822" w:rsidRPr="00C67C91">
        <w:rPr>
          <w:rFonts w:ascii="Arial" w:hAnsi="Arial" w:cs="Arial"/>
          <w:b/>
          <w:bCs/>
          <w:sz w:val="20"/>
          <w:szCs w:val="20"/>
          <w:u w:val="single"/>
        </w:rPr>
        <w:t>Elementos</w:t>
      </w:r>
      <w:r w:rsidR="00F53014" w:rsidRPr="00C67C91">
        <w:rPr>
          <w:rFonts w:ascii="Arial" w:hAnsi="Arial" w:cs="Arial"/>
          <w:b/>
          <w:bCs/>
          <w:sz w:val="20"/>
          <w:szCs w:val="20"/>
          <w:u w:val="single"/>
        </w:rPr>
        <w:t xml:space="preserve"> Recogidos en Varias Partidas</w:t>
      </w:r>
    </w:p>
    <w:p w:rsidR="00336822" w:rsidRPr="00C67C91" w:rsidRDefault="00336822" w:rsidP="00203EFC">
      <w:pPr>
        <w:pStyle w:val="CM20"/>
        <w:spacing w:before="120" w:after="120" w:line="260" w:lineRule="exact"/>
        <w:jc w:val="both"/>
        <w:rPr>
          <w:rFonts w:ascii="Arial" w:hAnsi="Arial" w:cs="Arial"/>
          <w:sz w:val="20"/>
          <w:szCs w:val="20"/>
          <w:u w:val="single"/>
        </w:rPr>
      </w:pPr>
      <w:r w:rsidRPr="00C67C91">
        <w:rPr>
          <w:rFonts w:ascii="Arial" w:hAnsi="Arial" w:cs="Arial"/>
          <w:sz w:val="20"/>
          <w:szCs w:val="20"/>
        </w:rPr>
        <w:t xml:space="preserve">No se presentan elementos patrimoniales registrados en </w:t>
      </w:r>
      <w:r w:rsidR="002A6F2C" w:rsidRPr="00C67C91">
        <w:rPr>
          <w:rFonts w:ascii="Arial" w:hAnsi="Arial" w:cs="Arial"/>
          <w:sz w:val="20"/>
          <w:szCs w:val="20"/>
        </w:rPr>
        <w:t>dos o más partidas del balance.</w:t>
      </w:r>
    </w:p>
    <w:p w:rsidR="00336822" w:rsidRPr="00C67C91" w:rsidRDefault="002A6F2C" w:rsidP="00850FC5">
      <w:pPr>
        <w:pStyle w:val="CM20"/>
        <w:spacing w:before="120" w:after="80" w:line="260" w:lineRule="exact"/>
        <w:jc w:val="both"/>
        <w:rPr>
          <w:rFonts w:ascii="Arial" w:hAnsi="Arial" w:cs="Arial"/>
          <w:b/>
          <w:sz w:val="20"/>
          <w:szCs w:val="20"/>
          <w:u w:val="single"/>
        </w:rPr>
      </w:pPr>
      <w:r w:rsidRPr="00C67C91">
        <w:rPr>
          <w:rFonts w:ascii="Arial" w:hAnsi="Arial" w:cs="Arial"/>
          <w:b/>
          <w:sz w:val="20"/>
          <w:szCs w:val="20"/>
          <w:u w:val="single"/>
        </w:rPr>
        <w:t>2.6 Cambios en criterios contables</w:t>
      </w:r>
    </w:p>
    <w:p w:rsidR="00336822" w:rsidRPr="00C67C91" w:rsidRDefault="00336822" w:rsidP="00203EFC">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Durante el ejercicio </w:t>
      </w:r>
      <w:r w:rsidR="002F7219" w:rsidRPr="00C67C91">
        <w:rPr>
          <w:rFonts w:ascii="Arial" w:hAnsi="Arial" w:cs="Arial"/>
          <w:sz w:val="20"/>
          <w:szCs w:val="20"/>
        </w:rPr>
        <w:t>20</w:t>
      </w:r>
      <w:r w:rsidR="00FA495B" w:rsidRPr="00C67C91">
        <w:rPr>
          <w:rFonts w:ascii="Arial" w:hAnsi="Arial" w:cs="Arial"/>
          <w:sz w:val="20"/>
          <w:szCs w:val="20"/>
        </w:rPr>
        <w:t>20</w:t>
      </w:r>
      <w:r w:rsidRPr="00C67C91">
        <w:rPr>
          <w:rFonts w:ascii="Arial" w:hAnsi="Arial" w:cs="Arial"/>
          <w:sz w:val="20"/>
          <w:szCs w:val="20"/>
        </w:rPr>
        <w:t xml:space="preserve"> no se han producido cambios significativos de criterios contables respecto a los criterios aplicados en el eje</w:t>
      </w:r>
      <w:r w:rsidR="002A6F2C" w:rsidRPr="00C67C91">
        <w:rPr>
          <w:rFonts w:ascii="Arial" w:hAnsi="Arial" w:cs="Arial"/>
          <w:sz w:val="20"/>
          <w:szCs w:val="20"/>
        </w:rPr>
        <w:t>rcicio anterior.</w:t>
      </w:r>
    </w:p>
    <w:p w:rsidR="00336822" w:rsidRPr="00C67C91" w:rsidRDefault="0085189D" w:rsidP="00850FC5">
      <w:pPr>
        <w:pStyle w:val="CM20"/>
        <w:spacing w:before="120" w:after="80" w:line="260" w:lineRule="exact"/>
        <w:jc w:val="both"/>
        <w:rPr>
          <w:rFonts w:ascii="Arial" w:hAnsi="Arial" w:cs="Arial"/>
          <w:b/>
          <w:sz w:val="20"/>
          <w:szCs w:val="20"/>
          <w:u w:val="single"/>
        </w:rPr>
      </w:pPr>
      <w:r w:rsidRPr="00C67C91">
        <w:rPr>
          <w:rFonts w:ascii="Arial" w:hAnsi="Arial" w:cs="Arial"/>
          <w:b/>
          <w:sz w:val="20"/>
          <w:szCs w:val="20"/>
          <w:u w:val="single"/>
        </w:rPr>
        <w:t>2.7 Corrección de errores</w:t>
      </w:r>
    </w:p>
    <w:p w:rsidR="00336822" w:rsidRPr="00C67C91" w:rsidRDefault="00336822" w:rsidP="00203EFC">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Las cuentas anuales del ejercicio </w:t>
      </w:r>
      <w:r w:rsidR="002F7219" w:rsidRPr="00C67C91">
        <w:rPr>
          <w:rFonts w:ascii="Arial" w:hAnsi="Arial" w:cs="Arial"/>
          <w:sz w:val="20"/>
          <w:szCs w:val="20"/>
        </w:rPr>
        <w:t>20</w:t>
      </w:r>
      <w:r w:rsidR="00FA495B" w:rsidRPr="00C67C91">
        <w:rPr>
          <w:rFonts w:ascii="Arial" w:hAnsi="Arial" w:cs="Arial"/>
          <w:sz w:val="20"/>
          <w:szCs w:val="20"/>
        </w:rPr>
        <w:t>20</w:t>
      </w:r>
      <w:r w:rsidRPr="00C67C91">
        <w:rPr>
          <w:rFonts w:ascii="Arial" w:hAnsi="Arial" w:cs="Arial"/>
          <w:sz w:val="20"/>
          <w:szCs w:val="20"/>
        </w:rPr>
        <w:t xml:space="preserve"> no incluyen ajustes realizados como consecuencia de errores detectados en el ejercicio.</w:t>
      </w:r>
    </w:p>
    <w:p w:rsidR="00336822" w:rsidRPr="00C67C91" w:rsidRDefault="0085189D" w:rsidP="00850FC5">
      <w:pPr>
        <w:pStyle w:val="CM20"/>
        <w:spacing w:before="120" w:after="80" w:line="260" w:lineRule="exact"/>
        <w:jc w:val="both"/>
        <w:rPr>
          <w:rFonts w:ascii="Arial" w:hAnsi="Arial" w:cs="Arial"/>
          <w:b/>
          <w:bCs/>
          <w:sz w:val="20"/>
          <w:szCs w:val="20"/>
          <w:u w:val="single"/>
        </w:rPr>
      </w:pPr>
      <w:r w:rsidRPr="00C67C91">
        <w:rPr>
          <w:rFonts w:ascii="Arial" w:hAnsi="Arial" w:cs="Arial"/>
          <w:b/>
          <w:bCs/>
          <w:sz w:val="20"/>
          <w:szCs w:val="20"/>
          <w:u w:val="single"/>
        </w:rPr>
        <w:t>2.8 Importancia relativa</w:t>
      </w:r>
    </w:p>
    <w:p w:rsidR="00336822" w:rsidRPr="00C67C91" w:rsidRDefault="00336822" w:rsidP="00203EFC">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w:t>
      </w:r>
      <w:r w:rsidR="00E06354" w:rsidRPr="00C67C91">
        <w:rPr>
          <w:rFonts w:ascii="Arial" w:hAnsi="Arial" w:cs="Arial"/>
          <w:sz w:val="20"/>
          <w:szCs w:val="20"/>
        </w:rPr>
        <w:t xml:space="preserve">abreviadas </w:t>
      </w:r>
      <w:r w:rsidRPr="00C67C91">
        <w:rPr>
          <w:rFonts w:ascii="Arial" w:hAnsi="Arial" w:cs="Arial"/>
          <w:sz w:val="20"/>
          <w:szCs w:val="20"/>
        </w:rPr>
        <w:t xml:space="preserve">del ejercicio </w:t>
      </w:r>
      <w:r w:rsidR="002F7219" w:rsidRPr="00C67C91">
        <w:rPr>
          <w:rFonts w:ascii="Arial" w:hAnsi="Arial" w:cs="Arial"/>
          <w:sz w:val="20"/>
          <w:szCs w:val="20"/>
        </w:rPr>
        <w:t>20</w:t>
      </w:r>
      <w:r w:rsidR="00FA495B" w:rsidRPr="00C67C91">
        <w:rPr>
          <w:rFonts w:ascii="Arial" w:hAnsi="Arial" w:cs="Arial"/>
          <w:sz w:val="20"/>
          <w:szCs w:val="20"/>
        </w:rPr>
        <w:t>20</w:t>
      </w:r>
      <w:r w:rsidR="002A6F2C" w:rsidRPr="00C67C91">
        <w:rPr>
          <w:rFonts w:ascii="Arial" w:hAnsi="Arial" w:cs="Arial"/>
          <w:sz w:val="20"/>
          <w:szCs w:val="20"/>
        </w:rPr>
        <w:t>.</w:t>
      </w:r>
    </w:p>
    <w:p w:rsidR="00336822" w:rsidRPr="00203EFC" w:rsidRDefault="00336822" w:rsidP="00203EFC">
      <w:pPr>
        <w:pStyle w:val="CM20"/>
        <w:spacing w:before="240" w:after="120"/>
        <w:ind w:left="284" w:hanging="284"/>
        <w:jc w:val="both"/>
        <w:rPr>
          <w:rFonts w:ascii="Arial" w:hAnsi="Arial" w:cs="Arial"/>
          <w:b/>
          <w:bCs/>
          <w:sz w:val="20"/>
          <w:szCs w:val="20"/>
        </w:rPr>
      </w:pPr>
      <w:r w:rsidRPr="00C67C91">
        <w:rPr>
          <w:rFonts w:ascii="Arial" w:hAnsi="Arial" w:cs="Arial"/>
          <w:b/>
          <w:bCs/>
          <w:sz w:val="20"/>
          <w:szCs w:val="20"/>
        </w:rPr>
        <w:t>3.-</w:t>
      </w:r>
      <w:r w:rsidR="00203EFC">
        <w:rPr>
          <w:rFonts w:ascii="Arial" w:hAnsi="Arial" w:cs="Arial"/>
          <w:b/>
          <w:bCs/>
          <w:sz w:val="20"/>
          <w:szCs w:val="20"/>
        </w:rPr>
        <w:t xml:space="preserve"> </w:t>
      </w:r>
      <w:r w:rsidR="00E06354" w:rsidRPr="00C67C91">
        <w:rPr>
          <w:rFonts w:ascii="Arial" w:hAnsi="Arial" w:cs="Arial"/>
          <w:b/>
          <w:bCs/>
          <w:sz w:val="20"/>
          <w:szCs w:val="20"/>
        </w:rPr>
        <w:t>NORMAS DE REGISTRO Y VALORACIÓN</w:t>
      </w:r>
    </w:p>
    <w:p w:rsidR="00332BDC" w:rsidRPr="00C67C91" w:rsidRDefault="00F53014" w:rsidP="00850FC5">
      <w:pPr>
        <w:pStyle w:val="CM20"/>
        <w:spacing w:before="120" w:after="80" w:line="260" w:lineRule="exact"/>
        <w:jc w:val="both"/>
        <w:rPr>
          <w:rFonts w:ascii="Arial" w:hAnsi="Arial" w:cs="Arial"/>
          <w:b/>
          <w:sz w:val="20"/>
          <w:szCs w:val="20"/>
          <w:u w:val="single"/>
        </w:rPr>
      </w:pPr>
      <w:r w:rsidRPr="00C67C91">
        <w:rPr>
          <w:rFonts w:ascii="Arial" w:hAnsi="Arial" w:cs="Arial"/>
          <w:b/>
          <w:sz w:val="20"/>
          <w:szCs w:val="20"/>
          <w:u w:val="single"/>
        </w:rPr>
        <w:t>3.</w:t>
      </w:r>
      <w:r w:rsidR="00756F01" w:rsidRPr="00C67C91">
        <w:rPr>
          <w:rFonts w:ascii="Arial" w:hAnsi="Arial" w:cs="Arial"/>
          <w:b/>
          <w:sz w:val="20"/>
          <w:szCs w:val="20"/>
          <w:u w:val="single"/>
        </w:rPr>
        <w:t>1</w:t>
      </w:r>
      <w:r w:rsidRPr="00C67C91">
        <w:rPr>
          <w:rFonts w:ascii="Arial" w:hAnsi="Arial" w:cs="Arial"/>
          <w:b/>
          <w:sz w:val="20"/>
          <w:szCs w:val="20"/>
          <w:u w:val="single"/>
        </w:rPr>
        <w:t xml:space="preserve"> </w:t>
      </w:r>
      <w:r w:rsidR="00332BDC" w:rsidRPr="00C67C91">
        <w:rPr>
          <w:rFonts w:ascii="Arial" w:hAnsi="Arial" w:cs="Arial"/>
          <w:b/>
          <w:sz w:val="20"/>
          <w:szCs w:val="20"/>
          <w:u w:val="single"/>
        </w:rPr>
        <w:t>Inmovilizado intangible</w:t>
      </w:r>
    </w:p>
    <w:p w:rsidR="00332BDC" w:rsidRPr="00C67C91" w:rsidRDefault="00332BDC"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La Sociedad no dispone de elementos de inmovilizado intangible.</w:t>
      </w:r>
    </w:p>
    <w:p w:rsidR="00336822" w:rsidRPr="00C67C91" w:rsidRDefault="00332BDC" w:rsidP="00850FC5">
      <w:pPr>
        <w:pStyle w:val="CM20"/>
        <w:spacing w:before="120" w:after="80" w:line="260" w:lineRule="exact"/>
        <w:jc w:val="both"/>
        <w:rPr>
          <w:rFonts w:ascii="Arial" w:hAnsi="Arial" w:cs="Arial"/>
          <w:b/>
          <w:sz w:val="20"/>
          <w:szCs w:val="20"/>
          <w:u w:val="single"/>
        </w:rPr>
      </w:pPr>
      <w:r w:rsidRPr="00C67C91">
        <w:rPr>
          <w:rFonts w:ascii="Arial" w:hAnsi="Arial" w:cs="Arial"/>
          <w:b/>
          <w:sz w:val="20"/>
          <w:szCs w:val="20"/>
          <w:u w:val="single"/>
        </w:rPr>
        <w:t xml:space="preserve">3.2 </w:t>
      </w:r>
      <w:r w:rsidR="00F53014" w:rsidRPr="00C67C91">
        <w:rPr>
          <w:rFonts w:ascii="Arial" w:hAnsi="Arial" w:cs="Arial"/>
          <w:b/>
          <w:sz w:val="20"/>
          <w:szCs w:val="20"/>
          <w:u w:val="single"/>
        </w:rPr>
        <w:t>Inmovilizado material</w:t>
      </w:r>
    </w:p>
    <w:p w:rsidR="00F53014" w:rsidRPr="00C67C91" w:rsidRDefault="00336822" w:rsidP="00B467FA">
      <w:pPr>
        <w:pStyle w:val="CM5"/>
        <w:spacing w:before="120" w:after="120" w:line="260" w:lineRule="exact"/>
        <w:jc w:val="both"/>
        <w:rPr>
          <w:rFonts w:ascii="Arial" w:hAnsi="Arial" w:cs="Arial"/>
          <w:sz w:val="20"/>
          <w:szCs w:val="20"/>
        </w:rPr>
      </w:pPr>
      <w:r w:rsidRPr="00C67C91">
        <w:rPr>
          <w:rFonts w:ascii="Arial" w:hAnsi="Arial" w:cs="Arial"/>
          <w:sz w:val="20"/>
          <w:szCs w:val="20"/>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w:t>
      </w:r>
      <w:r w:rsidR="00E06354" w:rsidRPr="00C67C91">
        <w:rPr>
          <w:rFonts w:ascii="Arial" w:hAnsi="Arial" w:cs="Arial"/>
          <w:sz w:val="20"/>
          <w:szCs w:val="20"/>
        </w:rPr>
        <w:t>imilares.</w:t>
      </w:r>
    </w:p>
    <w:p w:rsidR="00336822" w:rsidRPr="00C67C91" w:rsidRDefault="00336822" w:rsidP="00B467FA">
      <w:pPr>
        <w:pStyle w:val="CM5"/>
        <w:spacing w:before="120" w:after="120" w:line="260" w:lineRule="exact"/>
        <w:jc w:val="both"/>
        <w:rPr>
          <w:rFonts w:ascii="Arial" w:hAnsi="Arial" w:cs="Arial"/>
          <w:sz w:val="20"/>
          <w:szCs w:val="20"/>
        </w:rPr>
      </w:pPr>
      <w:r w:rsidRPr="00C67C91">
        <w:rPr>
          <w:rFonts w:ascii="Arial" w:hAnsi="Arial" w:cs="Arial"/>
          <w:sz w:val="20"/>
          <w:szCs w:val="20"/>
        </w:rPr>
        <w:t xml:space="preserve">La </w:t>
      </w:r>
      <w:r w:rsidR="00E06354" w:rsidRPr="00C67C91">
        <w:rPr>
          <w:rFonts w:ascii="Arial" w:hAnsi="Arial" w:cs="Arial"/>
          <w:sz w:val="20"/>
          <w:szCs w:val="20"/>
        </w:rPr>
        <w:t>Sociedad</w:t>
      </w:r>
      <w:r w:rsidRPr="00C67C91">
        <w:rPr>
          <w:rFonts w:ascii="Arial" w:hAnsi="Arial" w:cs="Arial"/>
          <w:sz w:val="20"/>
          <w:szCs w:val="20"/>
        </w:rPr>
        <w:t xml:space="preserve">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 Así como la mejor estimación del valor actual del importe contingente, no obstante, los pagos contingentes que dependan de magnitudes relacionadas con el desarrollo de la </w:t>
      </w:r>
      <w:r w:rsidR="00B80064" w:rsidRPr="00C67C91">
        <w:rPr>
          <w:rFonts w:ascii="Arial" w:hAnsi="Arial" w:cs="Arial"/>
          <w:sz w:val="20"/>
          <w:szCs w:val="20"/>
        </w:rPr>
        <w:t>actividad</w:t>
      </w:r>
      <w:r w:rsidRPr="00C67C91">
        <w:rPr>
          <w:rFonts w:ascii="Arial" w:hAnsi="Arial" w:cs="Arial"/>
          <w:sz w:val="20"/>
          <w:szCs w:val="20"/>
        </w:rPr>
        <w:t xml:space="preserve"> se contabilizan como un gasto en la cuenta de pérdidas y gananci</w:t>
      </w:r>
      <w:r w:rsidR="00E06354" w:rsidRPr="00C67C91">
        <w:rPr>
          <w:rFonts w:ascii="Arial" w:hAnsi="Arial" w:cs="Arial"/>
          <w:sz w:val="20"/>
          <w:szCs w:val="20"/>
        </w:rPr>
        <w:t>as a medida en que se incurran.</w:t>
      </w:r>
    </w:p>
    <w:p w:rsidR="00B80064"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lastRenderedPageBreak/>
        <w:t xml:space="preserve">Las cantidades entregadas a cuenta de adquisiciones futuras de bienes del inmovilizado </w:t>
      </w:r>
      <w:r w:rsidR="00B80064" w:rsidRPr="00C67C91">
        <w:rPr>
          <w:rFonts w:ascii="Arial" w:hAnsi="Arial" w:cs="Arial"/>
          <w:sz w:val="20"/>
          <w:szCs w:val="20"/>
        </w:rPr>
        <w:t>material</w:t>
      </w:r>
      <w:r w:rsidRPr="00C67C91">
        <w:rPr>
          <w:rFonts w:ascii="Arial" w:hAnsi="Arial" w:cs="Arial"/>
          <w:sz w:val="20"/>
          <w:szCs w:val="20"/>
        </w:rPr>
        <w:t xml:space="preserve">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Los costes relacionados con grandes reparaciones de los elementos del inmovilizado material se reconocen como sustitución en el momento en que se incurren y se amortizan durante el periodo que medie hasta la siguiente reparación, dando de baja cualquier importe asociado a la reparación que pudiera permanecer en el valor c</w:t>
      </w:r>
      <w:r w:rsidR="00E06354" w:rsidRPr="00C67C91">
        <w:rPr>
          <w:rFonts w:ascii="Arial" w:hAnsi="Arial" w:cs="Arial"/>
          <w:sz w:val="20"/>
          <w:szCs w:val="20"/>
        </w:rPr>
        <w:t>ontable del citado inmovilizado.</w:t>
      </w:r>
    </w:p>
    <w:p w:rsidR="00F53014"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Después del reconocimiento inicial, se contabiliza la reversión del descuento financiero asociado a la provisión en la cuenta de pérdidas y ganancias y se ajusta el valor del pasivo de acuerdo con el tipo de interés aplicado en el reconocimiento inicial, o en la fecha de la última revisión. Por su parte, la valoración inicial del inmovilizado material podrá verse alterada por cambios en estimaciones contables que modifiquen el importe de la provisión asociada a los costes de desmantelamiento y rehabilitación, una vez reconocida la reversión del descuento, y </w:t>
      </w:r>
      <w:r w:rsidR="00E06354" w:rsidRPr="00C67C91">
        <w:rPr>
          <w:rFonts w:ascii="Arial" w:hAnsi="Arial" w:cs="Arial"/>
          <w:sz w:val="20"/>
          <w:szCs w:val="20"/>
        </w:rPr>
        <w:t>que podrán venir motivados por:</w:t>
      </w:r>
    </w:p>
    <w:p w:rsidR="00F53014"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Un cambio en el calendario o en el importe de los flujos de efectivo estimados para cancelar la obligación asociada al desman</w:t>
      </w:r>
      <w:r w:rsidR="00E06354" w:rsidRPr="00C67C91">
        <w:rPr>
          <w:rFonts w:ascii="Arial" w:hAnsi="Arial" w:cs="Arial"/>
          <w:sz w:val="20"/>
          <w:szCs w:val="20"/>
        </w:rPr>
        <w:t>telamiento o la rehabilitación.</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El tipo de descuento empleado por la </w:t>
      </w:r>
      <w:r w:rsidR="009F3580" w:rsidRPr="00C67C91">
        <w:rPr>
          <w:rFonts w:ascii="Arial" w:hAnsi="Arial" w:cs="Arial"/>
          <w:sz w:val="20"/>
          <w:szCs w:val="20"/>
        </w:rPr>
        <w:t>Sociedad</w:t>
      </w:r>
      <w:r w:rsidRPr="00C67C91">
        <w:rPr>
          <w:rFonts w:ascii="Arial" w:hAnsi="Arial" w:cs="Arial"/>
          <w:sz w:val="20"/>
          <w:szCs w:val="20"/>
        </w:rPr>
        <w:t xml:space="preserve"> para la determinación del valor actual de la provisión que, en principio, es el tipo de interés libre de riesgo, salvo que al estimar los flujos de efectivo no se hubiera tenido en cuenta el riesgo asociado al</w:t>
      </w:r>
      <w:r w:rsidR="00E06354" w:rsidRPr="00C67C91">
        <w:rPr>
          <w:rFonts w:ascii="Arial" w:hAnsi="Arial" w:cs="Arial"/>
          <w:sz w:val="20"/>
          <w:szCs w:val="20"/>
        </w:rPr>
        <w:t xml:space="preserve"> cumplimiento de la obligación.</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Se registra la pérdida por deterioro del valor de un elemento del inmovilizado material cuando su valor neto contable supere a su importe recuperable, entendiendo éste como el mayor importe entre su valor razonable menos los cos</w:t>
      </w:r>
      <w:r w:rsidR="00E06354" w:rsidRPr="00C67C91">
        <w:rPr>
          <w:rFonts w:ascii="Arial" w:hAnsi="Arial" w:cs="Arial"/>
          <w:sz w:val="20"/>
          <w:szCs w:val="20"/>
        </w:rPr>
        <w:t>tes de venta y su valor en uso.</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Los gastos realizados durante el ejercicio con motivo de las obras y trabajos efectuados por la </w:t>
      </w:r>
      <w:r w:rsidR="009F3580" w:rsidRPr="00C67C91">
        <w:rPr>
          <w:rFonts w:ascii="Arial" w:hAnsi="Arial" w:cs="Arial"/>
          <w:sz w:val="20"/>
          <w:szCs w:val="20"/>
        </w:rPr>
        <w:t>Sociedad</w:t>
      </w:r>
      <w:r w:rsidRPr="00C67C91">
        <w:rPr>
          <w:rFonts w:ascii="Arial" w:hAnsi="Arial" w:cs="Arial"/>
          <w:sz w:val="20"/>
          <w:szCs w:val="20"/>
        </w:rPr>
        <w:t xml:space="preserve">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w:t>
      </w:r>
      <w:r w:rsidR="00B80064" w:rsidRPr="00C67C91">
        <w:rPr>
          <w:rFonts w:ascii="Arial" w:hAnsi="Arial" w:cs="Arial"/>
          <w:sz w:val="20"/>
          <w:szCs w:val="20"/>
        </w:rPr>
        <w:t>curso</w:t>
      </w:r>
      <w:r w:rsidRPr="00C67C91">
        <w:rPr>
          <w:rFonts w:ascii="Arial" w:hAnsi="Arial" w:cs="Arial"/>
          <w:sz w:val="20"/>
          <w:szCs w:val="20"/>
        </w:rPr>
        <w:t xml:space="preserve"> se cargan por el importe de dichos gastos, con abono a la partida de ingresos que recoge los trabajos realizados</w:t>
      </w:r>
      <w:r w:rsidR="00E06354" w:rsidRPr="00C67C91">
        <w:rPr>
          <w:rFonts w:ascii="Arial" w:hAnsi="Arial" w:cs="Arial"/>
          <w:sz w:val="20"/>
          <w:szCs w:val="20"/>
        </w:rPr>
        <w:t xml:space="preserve"> por la Sociedad para sí misma.</w:t>
      </w:r>
    </w:p>
    <w:p w:rsidR="00F53014"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La amortización de los elementos del inmovilizado material se realiza, desde el momento en el que están disponibles para su puesta en funcionamiento, de forma lineal durante su vida útil estimada estimando un valor residual nulo, en función de lo</w:t>
      </w:r>
      <w:r w:rsidR="00E06354" w:rsidRPr="00C67C91">
        <w:rPr>
          <w:rFonts w:ascii="Arial" w:hAnsi="Arial" w:cs="Arial"/>
          <w:sz w:val="20"/>
          <w:szCs w:val="20"/>
        </w:rPr>
        <w:t>s siguientes años de vida útil:</w:t>
      </w:r>
    </w:p>
    <w:tbl>
      <w:tblPr>
        <w:tblW w:w="6804" w:type="dxa"/>
        <w:jc w:val="center"/>
        <w:tblCellMar>
          <w:left w:w="70" w:type="dxa"/>
          <w:right w:w="70" w:type="dxa"/>
        </w:tblCellMar>
        <w:tblLook w:val="04A0"/>
      </w:tblPr>
      <w:tblGrid>
        <w:gridCol w:w="4787"/>
        <w:gridCol w:w="2017"/>
      </w:tblGrid>
      <w:tr w:rsidR="00F53014" w:rsidRPr="008C2F9C" w:rsidTr="008C2F9C">
        <w:trPr>
          <w:trHeight w:val="340"/>
          <w:jc w:val="center"/>
        </w:trPr>
        <w:tc>
          <w:tcPr>
            <w:tcW w:w="3518" w:type="pct"/>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F53014" w:rsidRPr="008C2F9C" w:rsidRDefault="00F53014" w:rsidP="00E06354">
            <w:pPr>
              <w:spacing w:after="0" w:line="240" w:lineRule="auto"/>
              <w:rPr>
                <w:rFonts w:ascii="Arial" w:hAnsi="Arial" w:cs="Arial"/>
                <w:b/>
                <w:color w:val="000000"/>
                <w:sz w:val="18"/>
                <w:szCs w:val="18"/>
              </w:rPr>
            </w:pPr>
            <w:r w:rsidRPr="008C2F9C">
              <w:rPr>
                <w:rFonts w:ascii="Arial" w:hAnsi="Arial" w:cs="Arial"/>
                <w:b/>
                <w:color w:val="000000"/>
                <w:sz w:val="18"/>
                <w:szCs w:val="18"/>
              </w:rPr>
              <w:t>Descripción</w:t>
            </w:r>
          </w:p>
        </w:tc>
        <w:tc>
          <w:tcPr>
            <w:tcW w:w="148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53014" w:rsidRPr="008C2F9C" w:rsidRDefault="00F53014" w:rsidP="00E06354">
            <w:pPr>
              <w:spacing w:after="0" w:line="240" w:lineRule="auto"/>
              <w:jc w:val="center"/>
              <w:rPr>
                <w:rFonts w:ascii="Arial" w:hAnsi="Arial" w:cs="Arial"/>
                <w:b/>
                <w:color w:val="000000"/>
                <w:sz w:val="18"/>
                <w:szCs w:val="18"/>
              </w:rPr>
            </w:pPr>
            <w:r w:rsidRPr="008C2F9C">
              <w:rPr>
                <w:rFonts w:ascii="Arial" w:hAnsi="Arial" w:cs="Arial"/>
                <w:b/>
                <w:color w:val="000000"/>
                <w:sz w:val="18"/>
                <w:szCs w:val="18"/>
              </w:rPr>
              <w:t>% Anual</w:t>
            </w:r>
          </w:p>
        </w:tc>
      </w:tr>
      <w:tr w:rsidR="00F53014" w:rsidRPr="008C2F9C" w:rsidTr="008C2F9C">
        <w:trPr>
          <w:trHeight w:val="340"/>
          <w:jc w:val="center"/>
        </w:trPr>
        <w:tc>
          <w:tcPr>
            <w:tcW w:w="3518" w:type="pct"/>
            <w:tcBorders>
              <w:top w:val="single" w:sz="4" w:space="0" w:color="auto"/>
              <w:left w:val="single" w:sz="4" w:space="0" w:color="auto"/>
              <w:bottom w:val="single" w:sz="4" w:space="0" w:color="auto"/>
              <w:right w:val="single" w:sz="4" w:space="0" w:color="000000"/>
            </w:tcBorders>
            <w:noWrap/>
            <w:vAlign w:val="center"/>
            <w:hideMark/>
          </w:tcPr>
          <w:p w:rsidR="00F53014" w:rsidRPr="008C2F9C" w:rsidRDefault="00F53014" w:rsidP="00E06354">
            <w:pPr>
              <w:spacing w:after="0" w:line="240" w:lineRule="auto"/>
              <w:rPr>
                <w:rFonts w:ascii="Arial" w:hAnsi="Arial" w:cs="Arial"/>
                <w:color w:val="000000"/>
                <w:sz w:val="18"/>
                <w:szCs w:val="18"/>
              </w:rPr>
            </w:pPr>
            <w:r w:rsidRPr="008C2F9C">
              <w:rPr>
                <w:rFonts w:ascii="Arial" w:hAnsi="Arial" w:cs="Arial"/>
                <w:color w:val="000000"/>
                <w:sz w:val="18"/>
                <w:szCs w:val="18"/>
              </w:rPr>
              <w:t>Instalaciones Técnicas</w:t>
            </w:r>
          </w:p>
        </w:tc>
        <w:tc>
          <w:tcPr>
            <w:tcW w:w="1482" w:type="pct"/>
            <w:tcBorders>
              <w:top w:val="nil"/>
              <w:left w:val="nil"/>
              <w:bottom w:val="single" w:sz="4" w:space="0" w:color="auto"/>
              <w:right w:val="single" w:sz="4" w:space="0" w:color="auto"/>
            </w:tcBorders>
            <w:noWrap/>
            <w:vAlign w:val="center"/>
            <w:hideMark/>
          </w:tcPr>
          <w:p w:rsidR="00F53014" w:rsidRPr="008C2F9C" w:rsidRDefault="00F53014" w:rsidP="00E06354">
            <w:pPr>
              <w:spacing w:after="0" w:line="240" w:lineRule="auto"/>
              <w:jc w:val="center"/>
              <w:rPr>
                <w:rFonts w:ascii="Arial" w:hAnsi="Arial" w:cs="Arial"/>
                <w:color w:val="000000"/>
                <w:sz w:val="18"/>
                <w:szCs w:val="18"/>
              </w:rPr>
            </w:pPr>
            <w:r w:rsidRPr="008C2F9C">
              <w:rPr>
                <w:rFonts w:ascii="Arial" w:hAnsi="Arial" w:cs="Arial"/>
                <w:color w:val="000000"/>
                <w:sz w:val="18"/>
                <w:szCs w:val="18"/>
              </w:rPr>
              <w:t>3,33%</w:t>
            </w:r>
          </w:p>
        </w:tc>
      </w:tr>
    </w:tbl>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Los activos registrados por este tipo de operaciones se amortizan con criterios similares a los aplicados al conjunto de los activos materiales, atendiendo a su naturaleza. </w:t>
      </w:r>
    </w:p>
    <w:p w:rsidR="00336822" w:rsidRPr="00C67C91" w:rsidRDefault="00336822" w:rsidP="00B467FA">
      <w:pPr>
        <w:pStyle w:val="CM20"/>
        <w:keepNext/>
        <w:keepLines/>
        <w:spacing w:before="120" w:after="120" w:line="260" w:lineRule="exact"/>
        <w:jc w:val="both"/>
        <w:rPr>
          <w:rFonts w:ascii="Arial" w:hAnsi="Arial" w:cs="Arial"/>
          <w:sz w:val="20"/>
          <w:szCs w:val="20"/>
        </w:rPr>
      </w:pPr>
      <w:r w:rsidRPr="00C67C91">
        <w:rPr>
          <w:rFonts w:ascii="Arial" w:hAnsi="Arial" w:cs="Arial"/>
          <w:sz w:val="20"/>
          <w:szCs w:val="20"/>
        </w:rPr>
        <w:lastRenderedPageBreak/>
        <w:t xml:space="preserve">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En el caso de que el importe recuperable estimado sea inferior al valor neto en libros del activo, se registra la correspondiente pérdida por deterioro con cargo a la cuenta de pérdidas y ganancias, reduciendo el valor en libros del activo a su importe recuperable.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Una vez reconocida la corrección valorativa por deterioro o su reversión, se ajustan las amortizaciones de los ejercicios siguientes considerando el nuevo valor contable. </w:t>
      </w:r>
    </w:p>
    <w:p w:rsidR="00AE0EAE"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No </w:t>
      </w:r>
      <w:r w:rsidR="00AE0EAE" w:rsidRPr="00C67C91">
        <w:rPr>
          <w:rFonts w:ascii="Arial" w:hAnsi="Arial" w:cs="Arial"/>
          <w:sz w:val="20"/>
          <w:szCs w:val="20"/>
        </w:rPr>
        <w:t>obstante,</w:t>
      </w:r>
      <w:r w:rsidRPr="00C67C91">
        <w:rPr>
          <w:rFonts w:ascii="Arial" w:hAnsi="Arial" w:cs="Arial"/>
          <w:sz w:val="20"/>
          <w:szCs w:val="20"/>
        </w:rPr>
        <w:t xml:space="preserve"> lo anterior, si de las circunstancias específicas de los activos se pone de manifiesto una pérdida de carácter irreversible, ésta se reconoce directamente en pérdidas procedentes del inmovilizado de la cuenta de pérdidas y ganancias.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En el ejercicio </w:t>
      </w:r>
      <w:r w:rsidR="002F7219" w:rsidRPr="00C67C91">
        <w:rPr>
          <w:rFonts w:ascii="Arial" w:hAnsi="Arial" w:cs="Arial"/>
          <w:sz w:val="20"/>
          <w:szCs w:val="20"/>
        </w:rPr>
        <w:t>20</w:t>
      </w:r>
      <w:r w:rsidR="00756F01" w:rsidRPr="00C67C91">
        <w:rPr>
          <w:rFonts w:ascii="Arial" w:hAnsi="Arial" w:cs="Arial"/>
          <w:sz w:val="20"/>
          <w:szCs w:val="20"/>
        </w:rPr>
        <w:t xml:space="preserve">20 </w:t>
      </w:r>
      <w:r w:rsidRPr="00C67C91">
        <w:rPr>
          <w:rFonts w:ascii="Arial" w:hAnsi="Arial" w:cs="Arial"/>
          <w:sz w:val="20"/>
          <w:szCs w:val="20"/>
        </w:rPr>
        <w:t xml:space="preserve">la Sociedad no ha registrado pérdidas por deterioro de los inmovilizados materiales. </w:t>
      </w:r>
    </w:p>
    <w:p w:rsidR="00E96706" w:rsidRPr="00C67C91" w:rsidRDefault="00E96706" w:rsidP="00B467FA">
      <w:pPr>
        <w:pStyle w:val="Default"/>
        <w:spacing w:before="120" w:after="120" w:line="260" w:lineRule="exact"/>
        <w:jc w:val="both"/>
        <w:rPr>
          <w:rFonts w:ascii="Arial" w:hAnsi="Arial" w:cs="Arial"/>
          <w:b/>
          <w:sz w:val="20"/>
          <w:szCs w:val="20"/>
          <w:u w:val="single"/>
        </w:rPr>
      </w:pPr>
      <w:r w:rsidRPr="00C67C91">
        <w:rPr>
          <w:rFonts w:ascii="Arial" w:hAnsi="Arial" w:cs="Arial"/>
          <w:b/>
          <w:sz w:val="20"/>
          <w:szCs w:val="20"/>
          <w:u w:val="single"/>
        </w:rPr>
        <w:t>3.</w:t>
      </w:r>
      <w:r w:rsidR="00556E7B" w:rsidRPr="00C67C91">
        <w:rPr>
          <w:rFonts w:ascii="Arial" w:hAnsi="Arial" w:cs="Arial"/>
          <w:b/>
          <w:sz w:val="20"/>
          <w:szCs w:val="20"/>
          <w:u w:val="single"/>
        </w:rPr>
        <w:t>3</w:t>
      </w:r>
      <w:r w:rsidRPr="00C67C91">
        <w:rPr>
          <w:rFonts w:ascii="Arial" w:hAnsi="Arial" w:cs="Arial"/>
          <w:b/>
          <w:sz w:val="20"/>
          <w:szCs w:val="20"/>
          <w:u w:val="single"/>
        </w:rPr>
        <w:t xml:space="preserve">. Activos </w:t>
      </w:r>
      <w:r w:rsidR="00556E7B" w:rsidRPr="00C67C91">
        <w:rPr>
          <w:rFonts w:ascii="Arial" w:hAnsi="Arial" w:cs="Arial"/>
          <w:b/>
          <w:sz w:val="20"/>
          <w:szCs w:val="20"/>
          <w:u w:val="single"/>
        </w:rPr>
        <w:t xml:space="preserve">financieros </w:t>
      </w:r>
      <w:r w:rsidRPr="00C67C91">
        <w:rPr>
          <w:rFonts w:ascii="Arial" w:hAnsi="Arial" w:cs="Arial"/>
          <w:b/>
          <w:sz w:val="20"/>
          <w:szCs w:val="20"/>
          <w:u w:val="single"/>
        </w:rPr>
        <w:t>y pasivos financieros</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La Sociedad tiene registrados en el capítulo de instrumentos financieros, aquellos contratos que dan lugar a un activo financiero en una empresa y, simultáneamente, a un pasivo financiero o a un instrumento de patrimonio en otra empresa. Se consideran, por </w:t>
      </w:r>
      <w:r w:rsidR="00AE0EAE" w:rsidRPr="00C67C91">
        <w:rPr>
          <w:rFonts w:ascii="Arial" w:hAnsi="Arial" w:cs="Arial"/>
          <w:sz w:val="20"/>
          <w:szCs w:val="20"/>
        </w:rPr>
        <w:t>tanto,</w:t>
      </w:r>
      <w:r w:rsidRPr="00C67C91">
        <w:rPr>
          <w:rFonts w:ascii="Arial" w:hAnsi="Arial" w:cs="Arial"/>
          <w:sz w:val="20"/>
          <w:szCs w:val="20"/>
        </w:rPr>
        <w:t xml:space="preserve"> instrumentos financieros, los siguientes. La presente norma resulta de aplicación a los siguientes. </w:t>
      </w:r>
    </w:p>
    <w:p w:rsidR="002672FE" w:rsidRPr="00C67C91" w:rsidRDefault="002672FE" w:rsidP="00B467FA">
      <w:pPr>
        <w:widowControl w:val="0"/>
        <w:numPr>
          <w:ilvl w:val="0"/>
          <w:numId w:val="6"/>
        </w:numPr>
        <w:autoSpaceDE w:val="0"/>
        <w:autoSpaceDN w:val="0"/>
        <w:adjustRightInd w:val="0"/>
        <w:spacing w:before="120" w:after="120" w:line="260" w:lineRule="exact"/>
        <w:ind w:left="0" w:firstLine="0"/>
        <w:jc w:val="both"/>
        <w:rPr>
          <w:rFonts w:ascii="Arial" w:hAnsi="Arial" w:cs="Arial"/>
          <w:b/>
          <w:bCs/>
          <w:sz w:val="20"/>
          <w:szCs w:val="20"/>
          <w:lang w:val="en-US"/>
        </w:rPr>
      </w:pPr>
      <w:proofErr w:type="spellStart"/>
      <w:r w:rsidRPr="00C67C91">
        <w:rPr>
          <w:rFonts w:ascii="Arial" w:hAnsi="Arial" w:cs="Arial"/>
          <w:b/>
          <w:bCs/>
          <w:sz w:val="20"/>
          <w:szCs w:val="20"/>
          <w:lang w:val="en-US"/>
        </w:rPr>
        <w:t>Activos</w:t>
      </w:r>
      <w:proofErr w:type="spellEnd"/>
      <w:r w:rsidRPr="00C67C91">
        <w:rPr>
          <w:rFonts w:ascii="Arial" w:hAnsi="Arial" w:cs="Arial"/>
          <w:b/>
          <w:bCs/>
          <w:sz w:val="20"/>
          <w:szCs w:val="20"/>
          <w:lang w:val="en-US"/>
        </w:rPr>
        <w:t xml:space="preserve"> </w:t>
      </w:r>
      <w:proofErr w:type="spellStart"/>
      <w:r w:rsidRPr="00C67C91">
        <w:rPr>
          <w:rFonts w:ascii="Arial" w:hAnsi="Arial" w:cs="Arial"/>
          <w:b/>
          <w:bCs/>
          <w:sz w:val="20"/>
          <w:szCs w:val="20"/>
          <w:lang w:val="en-US"/>
        </w:rPr>
        <w:t>financieros</w:t>
      </w:r>
      <w:proofErr w:type="spellEnd"/>
    </w:p>
    <w:p w:rsidR="002672FE" w:rsidRPr="00C67C91" w:rsidRDefault="002672FE" w:rsidP="00556E7B">
      <w:pPr>
        <w:numPr>
          <w:ilvl w:val="0"/>
          <w:numId w:val="3"/>
        </w:numPr>
        <w:tabs>
          <w:tab w:val="clear" w:pos="1068"/>
          <w:tab w:val="num" w:pos="567"/>
        </w:tabs>
        <w:spacing w:after="0" w:line="240" w:lineRule="auto"/>
        <w:ind w:left="567" w:hanging="283"/>
        <w:jc w:val="both"/>
        <w:rPr>
          <w:rFonts w:ascii="Arial" w:hAnsi="Arial" w:cs="Arial"/>
          <w:sz w:val="20"/>
          <w:szCs w:val="20"/>
        </w:rPr>
      </w:pPr>
      <w:r w:rsidRPr="00C67C91">
        <w:rPr>
          <w:rFonts w:ascii="Arial" w:hAnsi="Arial" w:cs="Arial"/>
          <w:sz w:val="20"/>
          <w:szCs w:val="20"/>
        </w:rPr>
        <w:t>Efectivo y otros activos líquidos equivalentes.</w:t>
      </w:r>
    </w:p>
    <w:p w:rsidR="002672FE" w:rsidRPr="00C67C91" w:rsidRDefault="002672FE" w:rsidP="00556E7B">
      <w:pPr>
        <w:numPr>
          <w:ilvl w:val="0"/>
          <w:numId w:val="3"/>
        </w:numPr>
        <w:tabs>
          <w:tab w:val="clear" w:pos="1068"/>
          <w:tab w:val="num" w:pos="567"/>
        </w:tabs>
        <w:spacing w:after="0" w:line="240" w:lineRule="auto"/>
        <w:ind w:left="567" w:hanging="283"/>
        <w:jc w:val="both"/>
        <w:rPr>
          <w:rFonts w:ascii="Arial" w:hAnsi="Arial" w:cs="Arial"/>
          <w:sz w:val="20"/>
          <w:szCs w:val="20"/>
        </w:rPr>
      </w:pPr>
      <w:r w:rsidRPr="00C67C91">
        <w:rPr>
          <w:rFonts w:ascii="Arial" w:hAnsi="Arial" w:cs="Arial"/>
          <w:sz w:val="20"/>
          <w:szCs w:val="20"/>
        </w:rPr>
        <w:t>Créditos por operaciones comerciales: clientes y deudores varios;</w:t>
      </w:r>
    </w:p>
    <w:p w:rsidR="002672FE" w:rsidRPr="00C67C91" w:rsidRDefault="002672FE" w:rsidP="00556E7B">
      <w:pPr>
        <w:numPr>
          <w:ilvl w:val="0"/>
          <w:numId w:val="3"/>
        </w:numPr>
        <w:tabs>
          <w:tab w:val="clear" w:pos="1068"/>
          <w:tab w:val="num" w:pos="567"/>
        </w:tabs>
        <w:spacing w:after="0" w:line="240" w:lineRule="auto"/>
        <w:ind w:left="567" w:hanging="283"/>
        <w:jc w:val="both"/>
        <w:rPr>
          <w:rFonts w:ascii="Arial" w:hAnsi="Arial" w:cs="Arial"/>
          <w:sz w:val="20"/>
          <w:szCs w:val="20"/>
        </w:rPr>
      </w:pPr>
      <w:r w:rsidRPr="00C67C91">
        <w:rPr>
          <w:rFonts w:ascii="Arial" w:hAnsi="Arial" w:cs="Arial"/>
          <w:sz w:val="20"/>
          <w:szCs w:val="20"/>
        </w:rPr>
        <w:t>Créditos a terceros: tales como los préstamos y créditos financieros concedidos, incluidos los surgidos de la venta de activos no corrientes;</w:t>
      </w:r>
    </w:p>
    <w:p w:rsidR="002672FE" w:rsidRPr="00C67C91" w:rsidRDefault="002672FE" w:rsidP="00556E7B">
      <w:pPr>
        <w:numPr>
          <w:ilvl w:val="0"/>
          <w:numId w:val="3"/>
        </w:numPr>
        <w:tabs>
          <w:tab w:val="clear" w:pos="1068"/>
          <w:tab w:val="num" w:pos="567"/>
        </w:tabs>
        <w:spacing w:after="0" w:line="240" w:lineRule="auto"/>
        <w:ind w:left="567" w:hanging="283"/>
        <w:jc w:val="both"/>
        <w:rPr>
          <w:rFonts w:ascii="Arial" w:hAnsi="Arial" w:cs="Arial"/>
          <w:sz w:val="20"/>
          <w:szCs w:val="20"/>
        </w:rPr>
      </w:pPr>
      <w:r w:rsidRPr="00C67C91">
        <w:rPr>
          <w:rFonts w:ascii="Arial" w:hAnsi="Arial" w:cs="Arial"/>
          <w:sz w:val="20"/>
          <w:szCs w:val="20"/>
        </w:rPr>
        <w:t>Valores representativos de deuda de otras empresas adquiridos: tales como las obligaciones, bonos y pagarés;</w:t>
      </w:r>
    </w:p>
    <w:p w:rsidR="002672FE" w:rsidRPr="00C67C91" w:rsidRDefault="002672FE" w:rsidP="00556E7B">
      <w:pPr>
        <w:numPr>
          <w:ilvl w:val="0"/>
          <w:numId w:val="3"/>
        </w:numPr>
        <w:tabs>
          <w:tab w:val="clear" w:pos="1068"/>
          <w:tab w:val="num" w:pos="567"/>
        </w:tabs>
        <w:spacing w:after="0" w:line="240" w:lineRule="auto"/>
        <w:ind w:left="567" w:hanging="283"/>
        <w:jc w:val="both"/>
        <w:rPr>
          <w:rFonts w:ascii="Arial" w:hAnsi="Arial" w:cs="Arial"/>
          <w:sz w:val="20"/>
          <w:szCs w:val="20"/>
        </w:rPr>
      </w:pPr>
      <w:r w:rsidRPr="00C67C91">
        <w:rPr>
          <w:rFonts w:ascii="Arial" w:hAnsi="Arial" w:cs="Arial"/>
          <w:sz w:val="20"/>
          <w:szCs w:val="20"/>
        </w:rPr>
        <w:t>Instrumentos de patrimonio de otras empresas adquiridos: acciones, participaciones en instituciones de inversión colectiva y otros instrumentos de patrimonio;</w:t>
      </w:r>
    </w:p>
    <w:p w:rsidR="002672FE" w:rsidRPr="00C67C91" w:rsidRDefault="002672FE" w:rsidP="00556E7B">
      <w:pPr>
        <w:numPr>
          <w:ilvl w:val="0"/>
          <w:numId w:val="3"/>
        </w:numPr>
        <w:tabs>
          <w:tab w:val="clear" w:pos="1068"/>
          <w:tab w:val="num" w:pos="567"/>
        </w:tabs>
        <w:spacing w:after="0" w:line="240" w:lineRule="auto"/>
        <w:ind w:left="567" w:hanging="283"/>
        <w:jc w:val="both"/>
        <w:rPr>
          <w:rFonts w:ascii="Arial" w:hAnsi="Arial" w:cs="Arial"/>
          <w:sz w:val="20"/>
          <w:szCs w:val="20"/>
        </w:rPr>
      </w:pPr>
      <w:r w:rsidRPr="00C67C91">
        <w:rPr>
          <w:rFonts w:ascii="Arial" w:hAnsi="Arial" w:cs="Arial"/>
          <w:sz w:val="20"/>
          <w:szCs w:val="20"/>
        </w:rPr>
        <w:t>Derivados con valoración favorable para la empresa: entre ellos, futuros, opciones, permutas financieras y compraventa de moneda extranjera a plazo, y</w:t>
      </w:r>
    </w:p>
    <w:p w:rsidR="002672FE" w:rsidRPr="00C67C91" w:rsidRDefault="002672FE" w:rsidP="00A02770">
      <w:pPr>
        <w:numPr>
          <w:ilvl w:val="0"/>
          <w:numId w:val="3"/>
        </w:numPr>
        <w:tabs>
          <w:tab w:val="clear" w:pos="1068"/>
          <w:tab w:val="num" w:pos="567"/>
        </w:tabs>
        <w:spacing w:line="240" w:lineRule="auto"/>
        <w:ind w:left="567" w:hanging="283"/>
        <w:jc w:val="both"/>
        <w:rPr>
          <w:rFonts w:ascii="Arial" w:hAnsi="Arial" w:cs="Arial"/>
          <w:sz w:val="20"/>
          <w:szCs w:val="20"/>
        </w:rPr>
      </w:pPr>
      <w:r w:rsidRPr="00C67C91">
        <w:rPr>
          <w:rFonts w:ascii="Arial" w:hAnsi="Arial" w:cs="Arial"/>
          <w:sz w:val="20"/>
          <w:szCs w:val="20"/>
        </w:rPr>
        <w:t>Otros activos financieros: tales como depósitos en entidades de crédito, anticipos y créditos al personal, fianzas y depósitos constituidos, dividendos a cobrar y desembolsos exigidos sobre instrumentos de patrimonio propio.</w:t>
      </w:r>
    </w:p>
    <w:p w:rsidR="002672FE" w:rsidRPr="00B467FA" w:rsidRDefault="002672FE" w:rsidP="008C2F9C">
      <w:pPr>
        <w:keepNext/>
        <w:keepLines/>
        <w:widowControl w:val="0"/>
        <w:numPr>
          <w:ilvl w:val="0"/>
          <w:numId w:val="6"/>
        </w:numPr>
        <w:autoSpaceDE w:val="0"/>
        <w:autoSpaceDN w:val="0"/>
        <w:adjustRightInd w:val="0"/>
        <w:spacing w:before="120" w:after="120" w:line="260" w:lineRule="exact"/>
        <w:ind w:left="0" w:firstLine="0"/>
        <w:jc w:val="both"/>
        <w:rPr>
          <w:rFonts w:ascii="Arial" w:hAnsi="Arial" w:cs="Arial"/>
          <w:b/>
          <w:bCs/>
          <w:sz w:val="20"/>
          <w:szCs w:val="20"/>
          <w:lang w:val="en-US"/>
        </w:rPr>
      </w:pPr>
      <w:proofErr w:type="spellStart"/>
      <w:r w:rsidRPr="00C67C91">
        <w:rPr>
          <w:rFonts w:ascii="Arial" w:hAnsi="Arial" w:cs="Arial"/>
          <w:b/>
          <w:bCs/>
          <w:sz w:val="20"/>
          <w:szCs w:val="20"/>
          <w:lang w:val="en-US"/>
        </w:rPr>
        <w:lastRenderedPageBreak/>
        <w:t>Pasivos</w:t>
      </w:r>
      <w:proofErr w:type="spellEnd"/>
      <w:r w:rsidRPr="00C67C91">
        <w:rPr>
          <w:rFonts w:ascii="Arial" w:hAnsi="Arial" w:cs="Arial"/>
          <w:b/>
          <w:bCs/>
          <w:sz w:val="20"/>
          <w:szCs w:val="20"/>
          <w:lang w:val="en-US"/>
        </w:rPr>
        <w:t xml:space="preserve"> </w:t>
      </w:r>
      <w:proofErr w:type="spellStart"/>
      <w:r w:rsidRPr="00C67C91">
        <w:rPr>
          <w:rFonts w:ascii="Arial" w:hAnsi="Arial" w:cs="Arial"/>
          <w:b/>
          <w:bCs/>
          <w:sz w:val="20"/>
          <w:szCs w:val="20"/>
          <w:lang w:val="en-US"/>
        </w:rPr>
        <w:t>financieros</w:t>
      </w:r>
      <w:proofErr w:type="spellEnd"/>
    </w:p>
    <w:p w:rsidR="002672FE" w:rsidRPr="00C67C91" w:rsidRDefault="002672FE" w:rsidP="008C2F9C">
      <w:pPr>
        <w:keepNext/>
        <w:keepLines/>
        <w:widowControl w:val="0"/>
        <w:numPr>
          <w:ilvl w:val="0"/>
          <w:numId w:val="3"/>
        </w:numPr>
        <w:tabs>
          <w:tab w:val="clear" w:pos="1068"/>
          <w:tab w:val="num" w:pos="567"/>
        </w:tabs>
        <w:spacing w:after="0" w:line="240" w:lineRule="auto"/>
        <w:ind w:left="567" w:hanging="283"/>
        <w:jc w:val="both"/>
        <w:rPr>
          <w:rFonts w:ascii="Arial" w:hAnsi="Arial" w:cs="Arial"/>
          <w:sz w:val="20"/>
          <w:szCs w:val="20"/>
        </w:rPr>
      </w:pPr>
      <w:r w:rsidRPr="00C67C91">
        <w:rPr>
          <w:rFonts w:ascii="Arial" w:hAnsi="Arial" w:cs="Arial"/>
          <w:sz w:val="20"/>
          <w:szCs w:val="20"/>
        </w:rPr>
        <w:t>Débitos por operaciones comerciales: proveedores y acreedores varios;</w:t>
      </w:r>
    </w:p>
    <w:p w:rsidR="002672FE" w:rsidRPr="00C67C91" w:rsidRDefault="002672FE" w:rsidP="00556E7B">
      <w:pPr>
        <w:numPr>
          <w:ilvl w:val="0"/>
          <w:numId w:val="3"/>
        </w:numPr>
        <w:tabs>
          <w:tab w:val="clear" w:pos="1068"/>
          <w:tab w:val="num" w:pos="567"/>
        </w:tabs>
        <w:spacing w:after="0" w:line="240" w:lineRule="auto"/>
        <w:ind w:left="567" w:hanging="283"/>
        <w:jc w:val="both"/>
        <w:rPr>
          <w:rFonts w:ascii="Arial" w:hAnsi="Arial" w:cs="Arial"/>
          <w:sz w:val="20"/>
          <w:szCs w:val="20"/>
        </w:rPr>
      </w:pPr>
      <w:r w:rsidRPr="00C67C91">
        <w:rPr>
          <w:rFonts w:ascii="Arial" w:hAnsi="Arial" w:cs="Arial"/>
          <w:sz w:val="20"/>
          <w:szCs w:val="20"/>
        </w:rPr>
        <w:t>Deudas con entidades de crédito;</w:t>
      </w:r>
    </w:p>
    <w:p w:rsidR="002672FE" w:rsidRPr="00C67C91" w:rsidRDefault="002672FE" w:rsidP="00556E7B">
      <w:pPr>
        <w:numPr>
          <w:ilvl w:val="0"/>
          <w:numId w:val="3"/>
        </w:numPr>
        <w:tabs>
          <w:tab w:val="clear" w:pos="1068"/>
          <w:tab w:val="num" w:pos="567"/>
        </w:tabs>
        <w:spacing w:after="0" w:line="240" w:lineRule="auto"/>
        <w:ind w:left="567" w:hanging="283"/>
        <w:jc w:val="both"/>
        <w:rPr>
          <w:rFonts w:ascii="Arial" w:hAnsi="Arial" w:cs="Arial"/>
          <w:sz w:val="20"/>
          <w:szCs w:val="20"/>
        </w:rPr>
      </w:pPr>
      <w:r w:rsidRPr="00C67C91">
        <w:rPr>
          <w:rFonts w:ascii="Arial" w:hAnsi="Arial" w:cs="Arial"/>
          <w:sz w:val="20"/>
          <w:szCs w:val="20"/>
        </w:rPr>
        <w:t>Obligaciones y otros valores negociables emitidos: tales como bonos y pagarés;</w:t>
      </w:r>
    </w:p>
    <w:p w:rsidR="002672FE" w:rsidRPr="00C67C91" w:rsidRDefault="002672FE" w:rsidP="00556E7B">
      <w:pPr>
        <w:numPr>
          <w:ilvl w:val="0"/>
          <w:numId w:val="3"/>
        </w:numPr>
        <w:tabs>
          <w:tab w:val="clear" w:pos="1068"/>
          <w:tab w:val="num" w:pos="567"/>
        </w:tabs>
        <w:spacing w:after="0" w:line="240" w:lineRule="auto"/>
        <w:ind w:left="567" w:hanging="283"/>
        <w:jc w:val="both"/>
        <w:rPr>
          <w:rFonts w:ascii="Arial" w:hAnsi="Arial" w:cs="Arial"/>
          <w:sz w:val="20"/>
          <w:szCs w:val="20"/>
        </w:rPr>
      </w:pPr>
      <w:r w:rsidRPr="00C67C91">
        <w:rPr>
          <w:rFonts w:ascii="Arial" w:hAnsi="Arial" w:cs="Arial"/>
          <w:sz w:val="20"/>
          <w:szCs w:val="20"/>
        </w:rPr>
        <w:t>Derivados con valoración desfavorable para la empresa: entre ellos, futuros, opciones, permutas financieras y compraventa de moneda extranjera a plazo;</w:t>
      </w:r>
    </w:p>
    <w:p w:rsidR="002672FE" w:rsidRPr="00C67C91" w:rsidRDefault="002672FE" w:rsidP="00556E7B">
      <w:pPr>
        <w:numPr>
          <w:ilvl w:val="0"/>
          <w:numId w:val="3"/>
        </w:numPr>
        <w:tabs>
          <w:tab w:val="clear" w:pos="1068"/>
          <w:tab w:val="num" w:pos="567"/>
        </w:tabs>
        <w:spacing w:after="0" w:line="240" w:lineRule="auto"/>
        <w:ind w:left="567" w:hanging="283"/>
        <w:jc w:val="both"/>
        <w:rPr>
          <w:rFonts w:ascii="Arial" w:hAnsi="Arial" w:cs="Arial"/>
          <w:sz w:val="20"/>
          <w:szCs w:val="20"/>
        </w:rPr>
      </w:pPr>
      <w:r w:rsidRPr="00C67C91">
        <w:rPr>
          <w:rFonts w:ascii="Arial" w:hAnsi="Arial" w:cs="Arial"/>
          <w:sz w:val="20"/>
          <w:szCs w:val="20"/>
        </w:rPr>
        <w:t>Deudas con características especiales, y</w:t>
      </w:r>
    </w:p>
    <w:p w:rsidR="002672FE" w:rsidRPr="00C67C91" w:rsidRDefault="002672FE" w:rsidP="00A02770">
      <w:pPr>
        <w:numPr>
          <w:ilvl w:val="0"/>
          <w:numId w:val="3"/>
        </w:numPr>
        <w:tabs>
          <w:tab w:val="clear" w:pos="1068"/>
          <w:tab w:val="num" w:pos="567"/>
        </w:tabs>
        <w:spacing w:after="120" w:line="240" w:lineRule="auto"/>
        <w:ind w:left="567" w:hanging="283"/>
        <w:jc w:val="both"/>
        <w:rPr>
          <w:rFonts w:ascii="Arial" w:hAnsi="Arial" w:cs="Arial"/>
          <w:sz w:val="20"/>
          <w:szCs w:val="20"/>
        </w:rPr>
      </w:pPr>
      <w:r w:rsidRPr="00C67C91">
        <w:rPr>
          <w:rFonts w:ascii="Arial" w:hAnsi="Arial" w:cs="Arial"/>
          <w:sz w:val="20"/>
          <w:szCs w:val="20"/>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B467FA" w:rsidRPr="00B467FA" w:rsidRDefault="002672FE" w:rsidP="00B467FA">
      <w:pPr>
        <w:widowControl w:val="0"/>
        <w:numPr>
          <w:ilvl w:val="0"/>
          <w:numId w:val="6"/>
        </w:numPr>
        <w:autoSpaceDE w:val="0"/>
        <w:autoSpaceDN w:val="0"/>
        <w:adjustRightInd w:val="0"/>
        <w:spacing w:before="120" w:after="120" w:line="260" w:lineRule="exact"/>
        <w:ind w:left="0" w:firstLine="0"/>
        <w:jc w:val="both"/>
        <w:rPr>
          <w:rFonts w:ascii="Arial" w:hAnsi="Arial" w:cs="Arial"/>
          <w:b/>
          <w:bCs/>
          <w:sz w:val="20"/>
          <w:szCs w:val="20"/>
          <w:lang w:val="en-US"/>
        </w:rPr>
      </w:pPr>
      <w:proofErr w:type="spellStart"/>
      <w:r w:rsidRPr="00B467FA">
        <w:rPr>
          <w:rFonts w:ascii="Arial" w:hAnsi="Arial" w:cs="Arial"/>
          <w:b/>
          <w:bCs/>
          <w:sz w:val="20"/>
          <w:szCs w:val="20"/>
          <w:lang w:val="en-US"/>
        </w:rPr>
        <w:t>Instrumentos</w:t>
      </w:r>
      <w:proofErr w:type="spellEnd"/>
      <w:r w:rsidRPr="00B467FA">
        <w:rPr>
          <w:rFonts w:ascii="Arial" w:hAnsi="Arial" w:cs="Arial"/>
          <w:b/>
          <w:bCs/>
          <w:sz w:val="20"/>
          <w:szCs w:val="20"/>
          <w:lang w:val="en-US"/>
        </w:rPr>
        <w:t xml:space="preserve"> de </w:t>
      </w:r>
      <w:proofErr w:type="spellStart"/>
      <w:r w:rsidRPr="00B467FA">
        <w:rPr>
          <w:rFonts w:ascii="Arial" w:hAnsi="Arial" w:cs="Arial"/>
          <w:b/>
          <w:bCs/>
          <w:sz w:val="20"/>
          <w:szCs w:val="20"/>
          <w:lang w:val="en-US"/>
        </w:rPr>
        <w:t>patrimonio</w:t>
      </w:r>
      <w:proofErr w:type="spellEnd"/>
      <w:r w:rsidRPr="00B467FA">
        <w:rPr>
          <w:rFonts w:ascii="Arial" w:hAnsi="Arial" w:cs="Arial"/>
          <w:b/>
          <w:bCs/>
          <w:sz w:val="20"/>
          <w:szCs w:val="20"/>
          <w:lang w:val="en-US"/>
        </w:rPr>
        <w:t xml:space="preserve"> </w:t>
      </w:r>
      <w:proofErr w:type="spellStart"/>
      <w:r w:rsidRPr="00B467FA">
        <w:rPr>
          <w:rFonts w:ascii="Arial" w:hAnsi="Arial" w:cs="Arial"/>
          <w:b/>
          <w:bCs/>
          <w:sz w:val="20"/>
          <w:szCs w:val="20"/>
          <w:lang w:val="en-US"/>
        </w:rPr>
        <w:t>propio</w:t>
      </w:r>
      <w:proofErr w:type="spellEnd"/>
      <w:r w:rsidRPr="00B467FA">
        <w:rPr>
          <w:rFonts w:ascii="Arial" w:hAnsi="Arial" w:cs="Arial"/>
          <w:b/>
          <w:bCs/>
          <w:sz w:val="20"/>
          <w:szCs w:val="20"/>
          <w:lang w:val="en-US"/>
        </w:rPr>
        <w:t xml:space="preserve"> </w:t>
      </w:r>
    </w:p>
    <w:p w:rsidR="002672FE" w:rsidRPr="00C67C91" w:rsidRDefault="00B467FA" w:rsidP="00B467FA">
      <w:pPr>
        <w:spacing w:line="240" w:lineRule="auto"/>
        <w:ind w:left="567"/>
        <w:jc w:val="both"/>
        <w:rPr>
          <w:rFonts w:ascii="Arial" w:hAnsi="Arial" w:cs="Arial"/>
          <w:sz w:val="20"/>
          <w:szCs w:val="20"/>
        </w:rPr>
      </w:pPr>
      <w:r w:rsidRPr="00B467FA">
        <w:rPr>
          <w:rFonts w:ascii="Arial" w:hAnsi="Arial" w:cs="Arial"/>
          <w:bCs/>
          <w:sz w:val="20"/>
          <w:szCs w:val="20"/>
        </w:rPr>
        <w:t>T</w:t>
      </w:r>
      <w:r w:rsidR="002672FE" w:rsidRPr="00C67C91">
        <w:rPr>
          <w:rFonts w:ascii="Arial" w:hAnsi="Arial" w:cs="Arial"/>
          <w:sz w:val="20"/>
          <w:szCs w:val="20"/>
        </w:rPr>
        <w:t>odos los instrumentos financieros que se incluyen dentro de los fondos propios, tal como las acciones ordinarias emitidas</w:t>
      </w:r>
      <w:r w:rsidR="00556E7B" w:rsidRPr="00C67C91">
        <w:rPr>
          <w:rFonts w:ascii="Arial" w:hAnsi="Arial" w:cs="Arial"/>
          <w:sz w:val="20"/>
          <w:szCs w:val="20"/>
        </w:rPr>
        <w:t>.</w:t>
      </w:r>
    </w:p>
    <w:p w:rsidR="00336822" w:rsidRPr="00C67C91" w:rsidRDefault="00556E7B" w:rsidP="00B467FA">
      <w:pPr>
        <w:pStyle w:val="CM20"/>
        <w:spacing w:before="120" w:after="120" w:line="260" w:lineRule="exact"/>
        <w:jc w:val="both"/>
        <w:rPr>
          <w:rFonts w:ascii="Arial" w:hAnsi="Arial" w:cs="Arial"/>
          <w:b/>
          <w:sz w:val="20"/>
          <w:szCs w:val="20"/>
          <w:u w:val="single"/>
        </w:rPr>
      </w:pPr>
      <w:r w:rsidRPr="00C67C91">
        <w:rPr>
          <w:rFonts w:ascii="Arial" w:hAnsi="Arial" w:cs="Arial"/>
          <w:b/>
          <w:sz w:val="20"/>
          <w:szCs w:val="20"/>
          <w:u w:val="single"/>
        </w:rPr>
        <w:t xml:space="preserve">3.3.1 </w:t>
      </w:r>
      <w:r w:rsidR="00336822" w:rsidRPr="00C67C91">
        <w:rPr>
          <w:rFonts w:ascii="Arial" w:hAnsi="Arial" w:cs="Arial"/>
          <w:b/>
          <w:sz w:val="20"/>
          <w:szCs w:val="20"/>
          <w:u w:val="single"/>
        </w:rPr>
        <w:t>Inversiones financieras a largo y corto plazo</w:t>
      </w:r>
    </w:p>
    <w:p w:rsidR="002672FE" w:rsidRPr="00C67C91" w:rsidRDefault="00336822" w:rsidP="00B467FA">
      <w:pPr>
        <w:pStyle w:val="CM20"/>
        <w:spacing w:before="120" w:after="120" w:line="260" w:lineRule="exact"/>
        <w:rPr>
          <w:rFonts w:ascii="Arial" w:hAnsi="Arial" w:cs="Arial"/>
          <w:b/>
          <w:bCs/>
          <w:sz w:val="20"/>
          <w:szCs w:val="20"/>
        </w:rPr>
      </w:pPr>
      <w:r w:rsidRPr="00C67C91">
        <w:rPr>
          <w:rFonts w:ascii="Arial" w:hAnsi="Arial" w:cs="Arial"/>
          <w:b/>
          <w:bCs/>
          <w:sz w:val="20"/>
          <w:szCs w:val="20"/>
          <w:u w:val="single"/>
        </w:rPr>
        <w:t>Préstamos y cuentas por cobrar</w:t>
      </w:r>
    </w:p>
    <w:p w:rsidR="00336822" w:rsidRPr="00C67C91" w:rsidRDefault="002672FE"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S</w:t>
      </w:r>
      <w:r w:rsidR="00336822" w:rsidRPr="00C67C91">
        <w:rPr>
          <w:rFonts w:ascii="Arial" w:hAnsi="Arial" w:cs="Arial"/>
          <w:sz w:val="20"/>
          <w:szCs w:val="20"/>
        </w:rPr>
        <w:t xml:space="preserve">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w:t>
      </w:r>
      <w:r w:rsidR="009F3580" w:rsidRPr="00C67C91">
        <w:rPr>
          <w:rFonts w:ascii="Arial" w:hAnsi="Arial" w:cs="Arial"/>
          <w:sz w:val="20"/>
          <w:szCs w:val="20"/>
        </w:rPr>
        <w:t>Sociedad</w:t>
      </w:r>
      <w:r w:rsidR="00336822" w:rsidRPr="00C67C91">
        <w:rPr>
          <w:rFonts w:ascii="Arial" w:hAnsi="Arial" w:cs="Arial"/>
          <w:sz w:val="20"/>
          <w:szCs w:val="20"/>
        </w:rPr>
        <w:t xml:space="preserve"> registra los correspondientes deterioros por la diferencia existente entre el importe a recuperar de las cuentas por cobrar y el valor en libros por el que se encuentran registradas. </w:t>
      </w:r>
    </w:p>
    <w:p w:rsidR="002672FE" w:rsidRPr="00C67C91" w:rsidRDefault="00336822" w:rsidP="00B467FA">
      <w:pPr>
        <w:pStyle w:val="CM20"/>
        <w:spacing w:before="120" w:after="120" w:line="260" w:lineRule="exact"/>
        <w:rPr>
          <w:rFonts w:ascii="Arial" w:hAnsi="Arial" w:cs="Arial"/>
          <w:b/>
          <w:bCs/>
          <w:sz w:val="20"/>
          <w:szCs w:val="20"/>
        </w:rPr>
      </w:pPr>
      <w:r w:rsidRPr="00C67C91">
        <w:rPr>
          <w:rFonts w:ascii="Arial" w:hAnsi="Arial" w:cs="Arial"/>
          <w:b/>
          <w:bCs/>
          <w:sz w:val="20"/>
          <w:szCs w:val="20"/>
          <w:u w:val="single"/>
        </w:rPr>
        <w:t>Inversiones mantenidas hasta su vencimiento</w:t>
      </w:r>
    </w:p>
    <w:p w:rsidR="00336822" w:rsidRPr="00C67C91" w:rsidRDefault="002672FE" w:rsidP="00B467FA">
      <w:pPr>
        <w:pStyle w:val="CM20"/>
        <w:spacing w:before="120" w:after="120" w:line="260" w:lineRule="exact"/>
        <w:jc w:val="both"/>
        <w:rPr>
          <w:rFonts w:ascii="Arial" w:hAnsi="Arial" w:cs="Arial"/>
          <w:sz w:val="20"/>
          <w:szCs w:val="20"/>
        </w:rPr>
      </w:pPr>
      <w:proofErr w:type="gramStart"/>
      <w:r w:rsidRPr="00C67C91">
        <w:rPr>
          <w:rFonts w:ascii="Arial" w:hAnsi="Arial" w:cs="Arial"/>
          <w:sz w:val="20"/>
          <w:szCs w:val="20"/>
        </w:rPr>
        <w:t>A</w:t>
      </w:r>
      <w:r w:rsidR="00336822" w:rsidRPr="00C67C91">
        <w:rPr>
          <w:rFonts w:ascii="Arial" w:hAnsi="Arial" w:cs="Arial"/>
          <w:sz w:val="20"/>
          <w:szCs w:val="20"/>
        </w:rPr>
        <w:t>quellos valores representativos de deuda, con una fecha de vencimiento fijada</w:t>
      </w:r>
      <w:proofErr w:type="gramEnd"/>
      <w:r w:rsidR="00336822" w:rsidRPr="00C67C91">
        <w:rPr>
          <w:rFonts w:ascii="Arial" w:hAnsi="Arial" w:cs="Arial"/>
          <w:sz w:val="20"/>
          <w:szCs w:val="20"/>
        </w:rPr>
        <w:t xml:space="preserve">, cobros de cuantía determinada o determinable, que se negocien en un mercado activo y que la Sociedad tiene intención y capacidad de conservar hasta su vencimiento. Se contabilizan a su coste amortizado. </w:t>
      </w:r>
    </w:p>
    <w:p w:rsidR="002672FE" w:rsidRPr="00C67C91" w:rsidRDefault="00336822" w:rsidP="00B467FA">
      <w:pPr>
        <w:pStyle w:val="CM20"/>
        <w:spacing w:before="120" w:after="120" w:line="260" w:lineRule="exact"/>
        <w:rPr>
          <w:rFonts w:ascii="Arial" w:hAnsi="Arial" w:cs="Arial"/>
          <w:b/>
          <w:bCs/>
          <w:sz w:val="20"/>
          <w:szCs w:val="20"/>
          <w:u w:val="single"/>
        </w:rPr>
      </w:pPr>
      <w:r w:rsidRPr="00C67C91">
        <w:rPr>
          <w:rFonts w:ascii="Arial" w:hAnsi="Arial" w:cs="Arial"/>
          <w:b/>
          <w:bCs/>
          <w:sz w:val="20"/>
          <w:szCs w:val="20"/>
          <w:u w:val="single"/>
        </w:rPr>
        <w:t>Activos financieros registrados a valor razo</w:t>
      </w:r>
      <w:r w:rsidR="002672FE" w:rsidRPr="00C67C91">
        <w:rPr>
          <w:rFonts w:ascii="Arial" w:hAnsi="Arial" w:cs="Arial"/>
          <w:b/>
          <w:bCs/>
          <w:sz w:val="20"/>
          <w:szCs w:val="20"/>
          <w:u w:val="single"/>
        </w:rPr>
        <w:t>nable con cambios en resultados</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La Sociedad clasifica los activos y pasivos financieros a valor razonable con cambios en la cuenta de pérdidas y ganancias en el momento de su reconocimiento inicial sólo si: </w:t>
      </w:r>
    </w:p>
    <w:p w:rsidR="002672FE" w:rsidRPr="00C67C91" w:rsidRDefault="002672FE" w:rsidP="00B467FA">
      <w:pPr>
        <w:numPr>
          <w:ilvl w:val="2"/>
          <w:numId w:val="4"/>
        </w:numPr>
        <w:tabs>
          <w:tab w:val="clear" w:pos="1282"/>
          <w:tab w:val="num" w:pos="567"/>
        </w:tabs>
        <w:spacing w:before="120" w:after="120" w:line="260" w:lineRule="exact"/>
        <w:ind w:left="567" w:hanging="283"/>
        <w:jc w:val="both"/>
        <w:rPr>
          <w:rFonts w:ascii="Arial" w:hAnsi="Arial" w:cs="Arial"/>
          <w:sz w:val="20"/>
          <w:szCs w:val="20"/>
        </w:rPr>
      </w:pPr>
      <w:r w:rsidRPr="00C67C91">
        <w:rPr>
          <w:rFonts w:ascii="Arial" w:hAnsi="Arial" w:cs="Arial"/>
          <w:sz w:val="20"/>
          <w:szCs w:val="20"/>
        </w:rPr>
        <w:t>con ello se elimina o reduce significativamente la no correlación contable entre activos y pasivos financieros o</w:t>
      </w:r>
    </w:p>
    <w:p w:rsidR="002672FE" w:rsidRPr="00C67C91" w:rsidRDefault="002672FE" w:rsidP="00B467FA">
      <w:pPr>
        <w:numPr>
          <w:ilvl w:val="2"/>
          <w:numId w:val="4"/>
        </w:numPr>
        <w:tabs>
          <w:tab w:val="clear" w:pos="1282"/>
          <w:tab w:val="num" w:pos="567"/>
        </w:tabs>
        <w:spacing w:before="120" w:after="120" w:line="260" w:lineRule="exact"/>
        <w:ind w:left="567" w:hanging="283"/>
        <w:jc w:val="both"/>
        <w:rPr>
          <w:rFonts w:ascii="Arial" w:hAnsi="Arial" w:cs="Arial"/>
          <w:sz w:val="20"/>
          <w:szCs w:val="20"/>
        </w:rPr>
      </w:pPr>
      <w:r w:rsidRPr="00C67C91">
        <w:rPr>
          <w:rFonts w:ascii="Arial" w:hAnsi="Arial" w:cs="Arial"/>
          <w:sz w:val="20"/>
          <w:szCs w:val="20"/>
        </w:rPr>
        <w:t xml:space="preserve">el rendimiento de un grupo de activos financieros, pasivos financieros o de ambos, se gestiona y evalúa según el criterio de valor razonable, de acuerdo con la estrategia documentada de inversión o de gestión del riesgo de la Sociedad.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 </w:t>
      </w:r>
    </w:p>
    <w:p w:rsidR="00336822" w:rsidRPr="00C67C91" w:rsidRDefault="00336822" w:rsidP="00B467FA">
      <w:pPr>
        <w:pStyle w:val="CM20"/>
        <w:keepNext/>
        <w:keepLines/>
        <w:spacing w:before="120" w:after="120" w:line="260" w:lineRule="exact"/>
        <w:jc w:val="both"/>
        <w:rPr>
          <w:rFonts w:ascii="Arial" w:hAnsi="Arial" w:cs="Arial"/>
          <w:sz w:val="20"/>
          <w:szCs w:val="20"/>
        </w:rPr>
      </w:pPr>
      <w:r w:rsidRPr="00C67C91">
        <w:rPr>
          <w:rFonts w:ascii="Arial" w:hAnsi="Arial" w:cs="Arial"/>
          <w:sz w:val="20"/>
          <w:szCs w:val="20"/>
        </w:rPr>
        <w:lastRenderedPageBreak/>
        <w:t xml:space="preserve">La Sociedad no reclasifica ningún activo o pasivo financiero de o a esta categoría mientras esté reconocido en el balance de situación, salvo cuando proceda calificar el activo como inversión en empresas del grupo, asociadas o </w:t>
      </w:r>
      <w:proofErr w:type="spellStart"/>
      <w:r w:rsidRPr="00C67C91">
        <w:rPr>
          <w:rFonts w:ascii="Arial" w:hAnsi="Arial" w:cs="Arial"/>
          <w:sz w:val="20"/>
          <w:szCs w:val="20"/>
        </w:rPr>
        <w:t>multigrupo</w:t>
      </w:r>
      <w:proofErr w:type="spellEnd"/>
      <w:r w:rsidRPr="00C67C91">
        <w:rPr>
          <w:rFonts w:ascii="Arial" w:hAnsi="Arial" w:cs="Arial"/>
          <w:sz w:val="20"/>
          <w:szCs w:val="20"/>
        </w:rPr>
        <w:t xml:space="preserve">. </w:t>
      </w:r>
    </w:p>
    <w:p w:rsidR="002672FE" w:rsidRPr="00C67C91" w:rsidRDefault="00336822" w:rsidP="00B467FA">
      <w:pPr>
        <w:pStyle w:val="CM20"/>
        <w:keepNext/>
        <w:keepLines/>
        <w:spacing w:before="120" w:after="120" w:line="260" w:lineRule="exact"/>
        <w:jc w:val="both"/>
        <w:rPr>
          <w:rFonts w:ascii="Arial" w:hAnsi="Arial" w:cs="Arial"/>
          <w:b/>
          <w:sz w:val="20"/>
          <w:szCs w:val="20"/>
          <w:u w:val="single"/>
        </w:rPr>
      </w:pPr>
      <w:r w:rsidRPr="00C67C91">
        <w:rPr>
          <w:rFonts w:ascii="Arial" w:hAnsi="Arial" w:cs="Arial"/>
          <w:b/>
          <w:sz w:val="20"/>
          <w:szCs w:val="20"/>
          <w:u w:val="single"/>
        </w:rPr>
        <w:t xml:space="preserve">Las inversiones en empresas del grupo, asociadas y </w:t>
      </w:r>
      <w:proofErr w:type="spellStart"/>
      <w:r w:rsidRPr="00C67C91">
        <w:rPr>
          <w:rFonts w:ascii="Arial" w:hAnsi="Arial" w:cs="Arial"/>
          <w:b/>
          <w:sz w:val="20"/>
          <w:szCs w:val="20"/>
          <w:u w:val="single"/>
        </w:rPr>
        <w:t>multigrupo</w:t>
      </w:r>
      <w:proofErr w:type="spellEnd"/>
    </w:p>
    <w:p w:rsidR="00336822" w:rsidRPr="00C67C91" w:rsidRDefault="00336822" w:rsidP="00B467FA">
      <w:pPr>
        <w:pStyle w:val="CM20"/>
        <w:keepNext/>
        <w:keepLines/>
        <w:spacing w:before="120" w:after="120" w:line="260" w:lineRule="exact"/>
        <w:jc w:val="both"/>
        <w:rPr>
          <w:rFonts w:ascii="Arial" w:hAnsi="Arial" w:cs="Arial"/>
          <w:sz w:val="20"/>
          <w:szCs w:val="20"/>
        </w:rPr>
      </w:pPr>
      <w:r w:rsidRPr="00C67C91">
        <w:rPr>
          <w:rFonts w:ascii="Arial" w:hAnsi="Arial" w:cs="Arial"/>
          <w:bCs/>
          <w:sz w:val="20"/>
          <w:szCs w:val="20"/>
        </w:rPr>
        <w:t xml:space="preserve">Inversiones disponibles para la venta: son el resto de </w:t>
      </w:r>
      <w:r w:rsidR="003D7BD2" w:rsidRPr="00C67C91">
        <w:rPr>
          <w:rFonts w:ascii="Arial" w:hAnsi="Arial" w:cs="Arial"/>
          <w:bCs/>
          <w:sz w:val="20"/>
          <w:szCs w:val="20"/>
        </w:rPr>
        <w:t>las inversiones</w:t>
      </w:r>
      <w:r w:rsidRPr="00C67C91">
        <w:rPr>
          <w:rFonts w:ascii="Arial" w:hAnsi="Arial" w:cs="Arial"/>
          <w:bCs/>
          <w:sz w:val="20"/>
          <w:szCs w:val="20"/>
        </w:rPr>
        <w:t xml:space="preserve"> que no entran dentro de las</w:t>
      </w:r>
      <w:r w:rsidRPr="00C67C91">
        <w:rPr>
          <w:rFonts w:ascii="Arial" w:hAnsi="Arial" w:cs="Arial"/>
          <w:sz w:val="20"/>
          <w:szCs w:val="20"/>
        </w:rPr>
        <w:t xml:space="preserve"> cuatro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 </w:t>
      </w:r>
    </w:p>
    <w:p w:rsidR="00336822" w:rsidRPr="00C67C91" w:rsidRDefault="00336822" w:rsidP="00B467FA">
      <w:pPr>
        <w:pStyle w:val="CM20"/>
        <w:keepNext/>
        <w:keepLines/>
        <w:spacing w:before="120" w:after="120" w:line="260" w:lineRule="exact"/>
        <w:jc w:val="both"/>
        <w:rPr>
          <w:rFonts w:ascii="Arial" w:hAnsi="Arial" w:cs="Arial"/>
          <w:b/>
          <w:sz w:val="20"/>
          <w:szCs w:val="20"/>
          <w:u w:val="single"/>
        </w:rPr>
      </w:pPr>
      <w:r w:rsidRPr="00C67C91">
        <w:rPr>
          <w:rFonts w:ascii="Arial" w:hAnsi="Arial" w:cs="Arial"/>
          <w:b/>
          <w:sz w:val="20"/>
          <w:szCs w:val="20"/>
          <w:u w:val="single"/>
        </w:rPr>
        <w:t xml:space="preserve">Intereses </w:t>
      </w:r>
      <w:r w:rsidR="003D7BD2" w:rsidRPr="00C67C91">
        <w:rPr>
          <w:rFonts w:ascii="Arial" w:hAnsi="Arial" w:cs="Arial"/>
          <w:b/>
          <w:sz w:val="20"/>
          <w:szCs w:val="20"/>
          <w:u w:val="single"/>
        </w:rPr>
        <w:t>y dividendos</w:t>
      </w:r>
      <w:r w:rsidRPr="00C67C91">
        <w:rPr>
          <w:rFonts w:ascii="Arial" w:hAnsi="Arial" w:cs="Arial"/>
          <w:b/>
          <w:sz w:val="20"/>
          <w:szCs w:val="20"/>
          <w:u w:val="single"/>
        </w:rPr>
        <w:t xml:space="preserve"> r</w:t>
      </w:r>
      <w:r w:rsidR="00556E7B" w:rsidRPr="00C67C91">
        <w:rPr>
          <w:rFonts w:ascii="Arial" w:hAnsi="Arial" w:cs="Arial"/>
          <w:b/>
          <w:sz w:val="20"/>
          <w:szCs w:val="20"/>
          <w:u w:val="single"/>
        </w:rPr>
        <w:t>ecibidos de activos financieros</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 </w:t>
      </w:r>
    </w:p>
    <w:p w:rsidR="00336822" w:rsidRPr="00C67C91" w:rsidRDefault="00556E7B" w:rsidP="00B467FA">
      <w:pPr>
        <w:pStyle w:val="CM20"/>
        <w:spacing w:before="120" w:after="120" w:line="260" w:lineRule="exact"/>
        <w:jc w:val="both"/>
        <w:rPr>
          <w:rFonts w:ascii="Arial" w:hAnsi="Arial" w:cs="Arial"/>
          <w:b/>
          <w:sz w:val="20"/>
          <w:szCs w:val="20"/>
          <w:u w:val="single"/>
        </w:rPr>
      </w:pPr>
      <w:r w:rsidRPr="00C67C91">
        <w:rPr>
          <w:rFonts w:ascii="Arial" w:hAnsi="Arial" w:cs="Arial"/>
          <w:b/>
          <w:sz w:val="20"/>
          <w:szCs w:val="20"/>
          <w:u w:val="single"/>
        </w:rPr>
        <w:t>Baja de activos financieros</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 </w:t>
      </w:r>
    </w:p>
    <w:p w:rsidR="00336822" w:rsidRPr="00C67C91" w:rsidRDefault="00336822" w:rsidP="00B467FA">
      <w:pPr>
        <w:pStyle w:val="CM2"/>
        <w:spacing w:before="120" w:after="120" w:line="260" w:lineRule="exact"/>
        <w:jc w:val="both"/>
        <w:rPr>
          <w:rFonts w:ascii="Arial" w:hAnsi="Arial" w:cs="Arial"/>
          <w:sz w:val="20"/>
          <w:szCs w:val="20"/>
        </w:rPr>
      </w:pPr>
      <w:r w:rsidRPr="00C67C91">
        <w:rPr>
          <w:rFonts w:ascii="Arial" w:hAnsi="Arial" w:cs="Arial"/>
          <w:sz w:val="20"/>
          <w:szCs w:val="20"/>
        </w:rPr>
        <w:t xml:space="preserve">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w:t>
      </w:r>
    </w:p>
    <w:p w:rsidR="00336822" w:rsidRPr="00C67C91" w:rsidRDefault="00336822" w:rsidP="00B467FA">
      <w:pPr>
        <w:pStyle w:val="CM20"/>
        <w:spacing w:before="120" w:after="120" w:line="260" w:lineRule="exact"/>
        <w:jc w:val="both"/>
        <w:rPr>
          <w:rFonts w:ascii="Arial" w:hAnsi="Arial" w:cs="Arial"/>
          <w:sz w:val="20"/>
          <w:szCs w:val="20"/>
        </w:rPr>
      </w:pPr>
      <w:proofErr w:type="gramStart"/>
      <w:r w:rsidRPr="00C67C91">
        <w:rPr>
          <w:rFonts w:ascii="Arial" w:hAnsi="Arial" w:cs="Arial"/>
          <w:sz w:val="20"/>
          <w:szCs w:val="20"/>
        </w:rPr>
        <w:t>o</w:t>
      </w:r>
      <w:proofErr w:type="gramEnd"/>
      <w:r w:rsidRPr="00C67C91">
        <w:rPr>
          <w:rFonts w:ascii="Arial" w:hAnsi="Arial" w:cs="Arial"/>
          <w:sz w:val="20"/>
          <w:szCs w:val="20"/>
        </w:rPr>
        <w:t xml:space="preserve"> pérdida surgida al dar de baja dicho activo, que forma parte del resultado del ejercicio en que ésta se produce.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Por el contrario, la </w:t>
      </w:r>
      <w:r w:rsidR="009F3580" w:rsidRPr="00C67C91">
        <w:rPr>
          <w:rFonts w:ascii="Arial" w:hAnsi="Arial" w:cs="Arial"/>
          <w:sz w:val="20"/>
          <w:szCs w:val="20"/>
        </w:rPr>
        <w:t xml:space="preserve">Sociedad </w:t>
      </w:r>
      <w:r w:rsidRPr="00C67C91">
        <w:rPr>
          <w:rFonts w:ascii="Arial" w:hAnsi="Arial" w:cs="Arial"/>
          <w:sz w:val="20"/>
          <w:szCs w:val="20"/>
        </w:rPr>
        <w:t xml:space="preserve">o da de baja los activos financieros, y reconoce un pasivo financiero por un importe igual a la contraprestación recibida, en las cesiones de activos financieros en las que se retenga sustancialmente los riesgos y beneficios inherentes a su propiedad. </w:t>
      </w:r>
    </w:p>
    <w:p w:rsidR="00336822" w:rsidRPr="00C67C91" w:rsidRDefault="002672FE" w:rsidP="00B467FA">
      <w:pPr>
        <w:pStyle w:val="CM20"/>
        <w:keepNext/>
        <w:keepLines/>
        <w:spacing w:before="120" w:after="120" w:line="260" w:lineRule="exact"/>
        <w:jc w:val="both"/>
        <w:rPr>
          <w:rFonts w:ascii="Arial" w:hAnsi="Arial" w:cs="Arial"/>
          <w:b/>
          <w:bCs/>
          <w:sz w:val="20"/>
          <w:szCs w:val="20"/>
          <w:u w:val="single"/>
        </w:rPr>
      </w:pPr>
      <w:r w:rsidRPr="00C67C91">
        <w:rPr>
          <w:rFonts w:ascii="Arial" w:hAnsi="Arial" w:cs="Arial"/>
          <w:b/>
          <w:bCs/>
          <w:sz w:val="20"/>
          <w:szCs w:val="20"/>
          <w:u w:val="single"/>
        </w:rPr>
        <w:lastRenderedPageBreak/>
        <w:t>3.</w:t>
      </w:r>
      <w:r w:rsidR="009F3580" w:rsidRPr="00C67C91">
        <w:rPr>
          <w:rFonts w:ascii="Arial" w:hAnsi="Arial" w:cs="Arial"/>
          <w:b/>
          <w:bCs/>
          <w:sz w:val="20"/>
          <w:szCs w:val="20"/>
          <w:u w:val="single"/>
        </w:rPr>
        <w:t>3</w:t>
      </w:r>
      <w:r w:rsidRPr="00C67C91">
        <w:rPr>
          <w:rFonts w:ascii="Arial" w:hAnsi="Arial" w:cs="Arial"/>
          <w:b/>
          <w:bCs/>
          <w:sz w:val="20"/>
          <w:szCs w:val="20"/>
          <w:u w:val="single"/>
        </w:rPr>
        <w:t>.2. Pasivos financieros</w:t>
      </w:r>
    </w:p>
    <w:p w:rsidR="00336822" w:rsidRPr="00C67C91" w:rsidRDefault="00336822" w:rsidP="00B467FA">
      <w:pPr>
        <w:pStyle w:val="CM20"/>
        <w:keepNext/>
        <w:keepLines/>
        <w:spacing w:before="120" w:after="120" w:line="260" w:lineRule="exact"/>
        <w:jc w:val="both"/>
        <w:rPr>
          <w:rFonts w:ascii="Arial" w:hAnsi="Arial" w:cs="Arial"/>
          <w:sz w:val="20"/>
          <w:szCs w:val="20"/>
        </w:rPr>
      </w:pPr>
      <w:r w:rsidRPr="00C67C91">
        <w:rPr>
          <w:rFonts w:ascii="Arial" w:hAnsi="Arial" w:cs="Arial"/>
          <w:sz w:val="20"/>
          <w:szCs w:val="20"/>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w:t>
      </w:r>
      <w:r w:rsidR="009F3580" w:rsidRPr="00C67C91">
        <w:rPr>
          <w:rFonts w:ascii="Arial" w:hAnsi="Arial" w:cs="Arial"/>
          <w:sz w:val="20"/>
          <w:szCs w:val="20"/>
        </w:rPr>
        <w:t xml:space="preserve"> el período en que se producen.</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Las cuentas a pagar se registran inicialmente a su coste de mercado y posteriormente son valoradas al coste amortizado utilizando el método de la tasa de interés efectivo. </w:t>
      </w:r>
    </w:p>
    <w:p w:rsidR="00336822" w:rsidRPr="00C67C91" w:rsidRDefault="002672FE" w:rsidP="00B467FA">
      <w:pPr>
        <w:pStyle w:val="CM20"/>
        <w:spacing w:before="120" w:after="120" w:line="260" w:lineRule="exact"/>
        <w:jc w:val="both"/>
        <w:rPr>
          <w:rFonts w:ascii="Arial" w:hAnsi="Arial" w:cs="Arial"/>
          <w:b/>
          <w:sz w:val="20"/>
          <w:szCs w:val="20"/>
        </w:rPr>
      </w:pPr>
      <w:r w:rsidRPr="00C67C91">
        <w:rPr>
          <w:rFonts w:ascii="Arial" w:hAnsi="Arial" w:cs="Arial"/>
          <w:b/>
          <w:sz w:val="20"/>
          <w:szCs w:val="20"/>
          <w:u w:val="single"/>
        </w:rPr>
        <w:t>Fianzas entregadas</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Los depósitos o fianzas constituidas en garantía de determinadas </w:t>
      </w:r>
      <w:r w:rsidR="00526344" w:rsidRPr="00C67C91">
        <w:rPr>
          <w:rFonts w:ascii="Arial" w:hAnsi="Arial" w:cs="Arial"/>
          <w:sz w:val="20"/>
          <w:szCs w:val="20"/>
        </w:rPr>
        <w:t>obligaciones</w:t>
      </w:r>
      <w:r w:rsidRPr="00C67C91">
        <w:rPr>
          <w:rFonts w:ascii="Arial" w:hAnsi="Arial" w:cs="Arial"/>
          <w:sz w:val="20"/>
          <w:szCs w:val="20"/>
        </w:rPr>
        <w:t xml:space="preserve"> se valoran por el importe efectivamente satisfecho, que no difiere significat</w:t>
      </w:r>
      <w:r w:rsidR="009F3580" w:rsidRPr="00C67C91">
        <w:rPr>
          <w:rFonts w:ascii="Arial" w:hAnsi="Arial" w:cs="Arial"/>
          <w:sz w:val="20"/>
          <w:szCs w:val="20"/>
        </w:rPr>
        <w:t>ivamente de su valor razonable.</w:t>
      </w:r>
    </w:p>
    <w:p w:rsidR="00336822" w:rsidRPr="00C67C91" w:rsidRDefault="002672FE" w:rsidP="00B467FA">
      <w:pPr>
        <w:pStyle w:val="CM20"/>
        <w:keepNext/>
        <w:keepLines/>
        <w:spacing w:before="120" w:after="120" w:line="260" w:lineRule="exact"/>
        <w:jc w:val="both"/>
        <w:rPr>
          <w:rFonts w:ascii="Arial" w:hAnsi="Arial" w:cs="Arial"/>
          <w:b/>
          <w:sz w:val="20"/>
          <w:szCs w:val="20"/>
          <w:u w:val="single"/>
        </w:rPr>
      </w:pPr>
      <w:r w:rsidRPr="00C67C91">
        <w:rPr>
          <w:rFonts w:ascii="Arial" w:hAnsi="Arial" w:cs="Arial"/>
          <w:b/>
          <w:sz w:val="20"/>
          <w:szCs w:val="20"/>
          <w:u w:val="single"/>
        </w:rPr>
        <w:t>Valor razonable</w:t>
      </w:r>
    </w:p>
    <w:p w:rsidR="00336822" w:rsidRPr="00C67C91" w:rsidRDefault="00336822" w:rsidP="00B467FA">
      <w:pPr>
        <w:pStyle w:val="CM20"/>
        <w:keepNext/>
        <w:keepLines/>
        <w:spacing w:before="120" w:after="120" w:line="260" w:lineRule="exact"/>
        <w:jc w:val="both"/>
        <w:rPr>
          <w:rFonts w:ascii="Arial" w:hAnsi="Arial" w:cs="Arial"/>
          <w:sz w:val="20"/>
          <w:szCs w:val="20"/>
        </w:rPr>
      </w:pPr>
      <w:r w:rsidRPr="00C67C91">
        <w:rPr>
          <w:rFonts w:ascii="Arial" w:hAnsi="Arial" w:cs="Arial"/>
          <w:sz w:val="20"/>
          <w:szCs w:val="20"/>
        </w:rPr>
        <w:t xml:space="preserve">El valor razonable es el importe por el que puede ser intercambiado un activo o liquidado un pasivo, entre partes interesadas y debidamente informadas, que realicen una transacción en condiciones de independencia mutua. </w:t>
      </w:r>
    </w:p>
    <w:p w:rsidR="00336822" w:rsidRPr="00C67C91" w:rsidRDefault="00336822" w:rsidP="00B467FA">
      <w:pPr>
        <w:pStyle w:val="CM2"/>
        <w:spacing w:before="120" w:after="120" w:line="260" w:lineRule="exact"/>
        <w:jc w:val="both"/>
        <w:rPr>
          <w:rFonts w:ascii="Arial" w:hAnsi="Arial" w:cs="Arial"/>
          <w:sz w:val="20"/>
          <w:szCs w:val="20"/>
        </w:rPr>
      </w:pPr>
      <w:r w:rsidRPr="00C67C91">
        <w:rPr>
          <w:rFonts w:ascii="Arial" w:hAnsi="Arial" w:cs="Arial"/>
          <w:sz w:val="20"/>
          <w:szCs w:val="20"/>
        </w:rPr>
        <w:t xml:space="preserve">Con carácter general, en la valoración de instrumentos financieros valorados a valor razonable, la Sociedad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 </w:t>
      </w:r>
    </w:p>
    <w:p w:rsidR="00526344"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Se asume que el valor en libros de los créditos y débitos por operaciones comerciales se aproxima a su valor razonable. </w:t>
      </w:r>
    </w:p>
    <w:p w:rsidR="00336822" w:rsidRPr="00C67C91" w:rsidRDefault="00336822" w:rsidP="00B467FA">
      <w:pPr>
        <w:pStyle w:val="CM20"/>
        <w:keepNext/>
        <w:keepLines/>
        <w:spacing w:before="120" w:after="120" w:line="260" w:lineRule="exact"/>
        <w:jc w:val="both"/>
        <w:rPr>
          <w:rFonts w:ascii="Arial" w:hAnsi="Arial" w:cs="Arial"/>
          <w:b/>
          <w:bCs/>
          <w:sz w:val="20"/>
          <w:szCs w:val="20"/>
          <w:u w:val="single"/>
        </w:rPr>
      </w:pPr>
      <w:r w:rsidRPr="00C67C91">
        <w:rPr>
          <w:rFonts w:ascii="Arial" w:hAnsi="Arial" w:cs="Arial"/>
          <w:b/>
          <w:bCs/>
          <w:sz w:val="20"/>
          <w:szCs w:val="20"/>
          <w:u w:val="single"/>
        </w:rPr>
        <w:t>3.</w:t>
      </w:r>
      <w:r w:rsidR="009F3580" w:rsidRPr="00C67C91">
        <w:rPr>
          <w:rFonts w:ascii="Arial" w:hAnsi="Arial" w:cs="Arial"/>
          <w:b/>
          <w:bCs/>
          <w:sz w:val="20"/>
          <w:szCs w:val="20"/>
          <w:u w:val="single"/>
        </w:rPr>
        <w:t>3</w:t>
      </w:r>
      <w:r w:rsidRPr="00C67C91">
        <w:rPr>
          <w:rFonts w:ascii="Arial" w:hAnsi="Arial" w:cs="Arial"/>
          <w:b/>
          <w:bCs/>
          <w:sz w:val="20"/>
          <w:szCs w:val="20"/>
          <w:u w:val="single"/>
        </w:rPr>
        <w:t>.3. Inversiones en empresas de</w:t>
      </w:r>
      <w:r w:rsidR="002672FE" w:rsidRPr="00C67C91">
        <w:rPr>
          <w:rFonts w:ascii="Arial" w:hAnsi="Arial" w:cs="Arial"/>
          <w:b/>
          <w:bCs/>
          <w:sz w:val="20"/>
          <w:szCs w:val="20"/>
          <w:u w:val="single"/>
        </w:rPr>
        <w:t xml:space="preserve">l grupo, </w:t>
      </w:r>
      <w:proofErr w:type="spellStart"/>
      <w:r w:rsidR="002672FE" w:rsidRPr="00C67C91">
        <w:rPr>
          <w:rFonts w:ascii="Arial" w:hAnsi="Arial" w:cs="Arial"/>
          <w:b/>
          <w:bCs/>
          <w:sz w:val="20"/>
          <w:szCs w:val="20"/>
          <w:u w:val="single"/>
        </w:rPr>
        <w:t>multigrupo</w:t>
      </w:r>
      <w:proofErr w:type="spellEnd"/>
      <w:r w:rsidR="002672FE" w:rsidRPr="00C67C91">
        <w:rPr>
          <w:rFonts w:ascii="Arial" w:hAnsi="Arial" w:cs="Arial"/>
          <w:b/>
          <w:bCs/>
          <w:sz w:val="20"/>
          <w:szCs w:val="20"/>
          <w:u w:val="single"/>
        </w:rPr>
        <w:t xml:space="preserve"> y asociadas</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Las inversiones en empresas del grupo, </w:t>
      </w:r>
      <w:proofErr w:type="spellStart"/>
      <w:r w:rsidRPr="00C67C91">
        <w:rPr>
          <w:rFonts w:ascii="Arial" w:hAnsi="Arial" w:cs="Arial"/>
          <w:sz w:val="20"/>
          <w:szCs w:val="20"/>
        </w:rPr>
        <w:t>multigrupo</w:t>
      </w:r>
      <w:proofErr w:type="spellEnd"/>
      <w:r w:rsidRPr="00C67C91">
        <w:rPr>
          <w:rFonts w:ascii="Arial" w:hAnsi="Arial" w:cs="Arial"/>
          <w:sz w:val="20"/>
          <w:szCs w:val="20"/>
        </w:rPr>
        <w:t xml:space="preserve"> y asociadas, se valoran inicialmente por su coste, que equivale al valor razonable de la contraprestación entregada más los costes de transacción.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Al menos al cierre del ejercicio, la Sociedad procede a evaluar si ha existido deterioro de valor de las inversiones. Las correcciones valorativas por deterioro y en su caso la reversión, se llevan como gasto o ingreso, respectivamente, en la cuenta de pérdidas y ganancias.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 </w:t>
      </w:r>
    </w:p>
    <w:p w:rsidR="006F1EE9" w:rsidRPr="00C67C91" w:rsidRDefault="00336822" w:rsidP="00B467FA">
      <w:pPr>
        <w:pStyle w:val="CM23"/>
        <w:spacing w:before="120" w:after="120" w:line="260" w:lineRule="exact"/>
        <w:jc w:val="both"/>
        <w:rPr>
          <w:rFonts w:ascii="Arial" w:hAnsi="Arial" w:cs="Arial"/>
          <w:sz w:val="20"/>
          <w:szCs w:val="20"/>
        </w:rPr>
      </w:pPr>
      <w:r w:rsidRPr="00C67C91">
        <w:rPr>
          <w:rFonts w:ascii="Arial" w:hAnsi="Arial" w:cs="Arial"/>
          <w:sz w:val="20"/>
          <w:szCs w:val="20"/>
        </w:rPr>
        <w:lastRenderedPageBreak/>
        <w:t xml:space="preserve">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 </w:t>
      </w:r>
    </w:p>
    <w:p w:rsidR="00336822" w:rsidRPr="00C67C91" w:rsidRDefault="00336822" w:rsidP="00B467FA">
      <w:pPr>
        <w:pStyle w:val="CM23"/>
        <w:spacing w:before="120" w:after="120" w:line="260" w:lineRule="exact"/>
        <w:jc w:val="both"/>
        <w:rPr>
          <w:rFonts w:ascii="Arial" w:hAnsi="Arial" w:cs="Arial"/>
          <w:b/>
          <w:sz w:val="20"/>
          <w:szCs w:val="20"/>
          <w:u w:val="single"/>
        </w:rPr>
      </w:pPr>
      <w:r w:rsidRPr="00C67C91">
        <w:rPr>
          <w:rFonts w:ascii="Arial" w:hAnsi="Arial" w:cs="Arial"/>
          <w:b/>
          <w:sz w:val="20"/>
          <w:szCs w:val="20"/>
          <w:u w:val="single"/>
        </w:rPr>
        <w:t>3.</w:t>
      </w:r>
      <w:r w:rsidR="009F3580" w:rsidRPr="00C67C91">
        <w:rPr>
          <w:rFonts w:ascii="Arial" w:hAnsi="Arial" w:cs="Arial"/>
          <w:b/>
          <w:sz w:val="20"/>
          <w:szCs w:val="20"/>
          <w:u w:val="single"/>
        </w:rPr>
        <w:t>4</w:t>
      </w:r>
      <w:r w:rsidRPr="00C67C91">
        <w:rPr>
          <w:rFonts w:ascii="Arial" w:hAnsi="Arial" w:cs="Arial"/>
          <w:b/>
          <w:sz w:val="20"/>
          <w:szCs w:val="20"/>
          <w:u w:val="single"/>
        </w:rPr>
        <w:t xml:space="preserve"> Tra</w:t>
      </w:r>
      <w:r w:rsidR="009F3580" w:rsidRPr="00C67C91">
        <w:rPr>
          <w:rFonts w:ascii="Arial" w:hAnsi="Arial" w:cs="Arial"/>
          <w:b/>
          <w:sz w:val="20"/>
          <w:szCs w:val="20"/>
          <w:u w:val="single"/>
        </w:rPr>
        <w:t>nsacciones en moneda extranjera</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336822" w:rsidRPr="00C67C91" w:rsidRDefault="00336822" w:rsidP="00B467FA">
      <w:pPr>
        <w:pStyle w:val="CM20"/>
        <w:spacing w:before="120" w:after="120" w:line="260" w:lineRule="exact"/>
        <w:jc w:val="both"/>
        <w:rPr>
          <w:rFonts w:ascii="Arial" w:hAnsi="Arial" w:cs="Arial"/>
          <w:b/>
          <w:sz w:val="20"/>
          <w:szCs w:val="20"/>
          <w:u w:val="single"/>
        </w:rPr>
      </w:pPr>
      <w:r w:rsidRPr="00C67C91">
        <w:rPr>
          <w:rFonts w:ascii="Arial" w:hAnsi="Arial" w:cs="Arial"/>
          <w:b/>
          <w:sz w:val="20"/>
          <w:szCs w:val="20"/>
          <w:u w:val="single"/>
        </w:rPr>
        <w:t>3.</w:t>
      </w:r>
      <w:r w:rsidR="009F3580" w:rsidRPr="00C67C91">
        <w:rPr>
          <w:rFonts w:ascii="Arial" w:hAnsi="Arial" w:cs="Arial"/>
          <w:b/>
          <w:sz w:val="20"/>
          <w:szCs w:val="20"/>
          <w:u w:val="single"/>
        </w:rPr>
        <w:t>5 Impuestos sobre beneficios</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Los activos y pasivos por impuestos </w:t>
      </w:r>
      <w:r w:rsidR="00526344" w:rsidRPr="00C67C91">
        <w:rPr>
          <w:rFonts w:ascii="Arial" w:hAnsi="Arial" w:cs="Arial"/>
          <w:sz w:val="20"/>
          <w:szCs w:val="20"/>
        </w:rPr>
        <w:t>diferidos</w:t>
      </w:r>
      <w:r w:rsidRPr="00C67C91">
        <w:rPr>
          <w:rFonts w:ascii="Arial" w:hAnsi="Arial" w:cs="Arial"/>
          <w:sz w:val="20"/>
          <w:szCs w:val="20"/>
        </w:rPr>
        <w:t xml:space="preserve">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Los activos por impuestos diferidos surgen, igualmente, como consecuencia de las bases imponibles negativas pendientes de compensar y de los créditos por deducciones fiscales generadas y no aplicadas. </w:t>
      </w:r>
    </w:p>
    <w:p w:rsidR="00336822" w:rsidRPr="00C67C91" w:rsidRDefault="00336822" w:rsidP="00B467FA">
      <w:pPr>
        <w:pStyle w:val="CM20"/>
        <w:keepNext/>
        <w:keepLines/>
        <w:spacing w:before="120" w:after="120" w:line="260" w:lineRule="exact"/>
        <w:jc w:val="both"/>
        <w:rPr>
          <w:rFonts w:ascii="Arial" w:hAnsi="Arial" w:cs="Arial"/>
          <w:sz w:val="20"/>
          <w:szCs w:val="20"/>
        </w:rPr>
      </w:pPr>
      <w:r w:rsidRPr="00C67C91">
        <w:rPr>
          <w:rFonts w:ascii="Arial" w:hAnsi="Arial" w:cs="Arial"/>
          <w:sz w:val="20"/>
          <w:szCs w:val="20"/>
        </w:rPr>
        <w:t xml:space="preserve">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w:t>
      </w:r>
      <w:r w:rsidR="002767D9" w:rsidRPr="00C67C91">
        <w:rPr>
          <w:rFonts w:ascii="Arial" w:hAnsi="Arial" w:cs="Arial"/>
          <w:sz w:val="20"/>
          <w:szCs w:val="20"/>
        </w:rPr>
        <w:t>que,</w:t>
      </w:r>
      <w:r w:rsidRPr="00C67C91">
        <w:rPr>
          <w:rFonts w:ascii="Arial" w:hAnsi="Arial" w:cs="Arial"/>
          <w:sz w:val="20"/>
          <w:szCs w:val="20"/>
        </w:rPr>
        <w:t xml:space="preserve"> en el momento de su realización, no afecte ni al resultado fiscal ni contable.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w:t>
      </w:r>
      <w:r w:rsidR="002767D9" w:rsidRPr="00C67C91">
        <w:rPr>
          <w:rFonts w:ascii="Arial" w:hAnsi="Arial" w:cs="Arial"/>
          <w:sz w:val="20"/>
          <w:szCs w:val="20"/>
        </w:rPr>
        <w:t>los activos</w:t>
      </w:r>
      <w:r w:rsidRPr="00C67C91">
        <w:rPr>
          <w:rFonts w:ascii="Arial" w:hAnsi="Arial" w:cs="Arial"/>
          <w:sz w:val="20"/>
          <w:szCs w:val="20"/>
        </w:rPr>
        <w:t xml:space="preserve"> por impuestos diferidos (bases imponibles negativas y deducciones pendientes de compensar) solamente se reconocen en el caso de que se considere probable que la Sociedad vaya a tener en el futuro suficientes ganancias fiscales contra las que poder hacerlos efectivos. </w:t>
      </w:r>
    </w:p>
    <w:p w:rsidR="00526344" w:rsidRPr="00C67C91" w:rsidRDefault="00336822" w:rsidP="00B467FA">
      <w:pPr>
        <w:pStyle w:val="CM20"/>
        <w:keepNext/>
        <w:keepLines/>
        <w:spacing w:before="120" w:after="120" w:line="260" w:lineRule="exact"/>
        <w:jc w:val="both"/>
        <w:rPr>
          <w:rFonts w:ascii="Arial" w:hAnsi="Arial" w:cs="Arial"/>
          <w:sz w:val="20"/>
          <w:szCs w:val="20"/>
        </w:rPr>
      </w:pPr>
      <w:r w:rsidRPr="00C67C91">
        <w:rPr>
          <w:rFonts w:ascii="Arial" w:hAnsi="Arial" w:cs="Arial"/>
          <w:sz w:val="20"/>
          <w:szCs w:val="20"/>
        </w:rPr>
        <w:lastRenderedPageBreak/>
        <w:t xml:space="preserve">Con ocasión de cada cierre contable, se revisan los impuestos diferidos registrados (tanto activos como pasivos) con objeto de comprobar que se mantienen vigentes, efectuándose las oportunas correcciones a los mismos, de acuerdo con los resultados de los análisis realizados.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 </w:t>
      </w:r>
    </w:p>
    <w:p w:rsidR="00336822" w:rsidRPr="00C67C91" w:rsidRDefault="00336822" w:rsidP="00B467FA">
      <w:pPr>
        <w:pStyle w:val="CM20"/>
        <w:spacing w:before="120" w:after="120" w:line="260" w:lineRule="exact"/>
        <w:jc w:val="both"/>
        <w:rPr>
          <w:rFonts w:ascii="Arial" w:hAnsi="Arial" w:cs="Arial"/>
          <w:b/>
          <w:sz w:val="20"/>
          <w:szCs w:val="20"/>
          <w:u w:val="single"/>
        </w:rPr>
      </w:pPr>
      <w:r w:rsidRPr="00C67C91">
        <w:rPr>
          <w:rFonts w:ascii="Arial" w:hAnsi="Arial" w:cs="Arial"/>
          <w:b/>
          <w:sz w:val="20"/>
          <w:szCs w:val="20"/>
          <w:u w:val="single"/>
        </w:rPr>
        <w:t>3.</w:t>
      </w:r>
      <w:r w:rsidR="009F3580" w:rsidRPr="00C67C91">
        <w:rPr>
          <w:rFonts w:ascii="Arial" w:hAnsi="Arial" w:cs="Arial"/>
          <w:b/>
          <w:sz w:val="20"/>
          <w:szCs w:val="20"/>
          <w:u w:val="single"/>
        </w:rPr>
        <w:t>6 Ingresos y gastos</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Los ingresos y gastos se imputan en función del criterio del devengo con independencia del momento en que se produce la corriente monetaria o financiera derivada de ellos.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No obstante, la Sociedad únicamente contabiliza los beneficios realizados a la fecha de cierre del ejercicio, en tanto que los riesgos y las pérdidas previsibles, aun siendo eventuales, se contabilizan tan pronto son conocidos.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w:t>
      </w:r>
      <w:r w:rsidR="00526344" w:rsidRPr="00C67C91">
        <w:rPr>
          <w:rFonts w:ascii="Arial" w:hAnsi="Arial" w:cs="Arial"/>
          <w:sz w:val="20"/>
          <w:szCs w:val="20"/>
        </w:rPr>
        <w:t>obstante,</w:t>
      </w:r>
      <w:r w:rsidRPr="00C67C91">
        <w:rPr>
          <w:rFonts w:ascii="Arial" w:hAnsi="Arial" w:cs="Arial"/>
          <w:sz w:val="20"/>
          <w:szCs w:val="20"/>
        </w:rPr>
        <w:t xml:space="preserve"> la </w:t>
      </w:r>
      <w:r w:rsidR="009F3580" w:rsidRPr="00C67C91">
        <w:rPr>
          <w:rFonts w:ascii="Arial" w:hAnsi="Arial" w:cs="Arial"/>
          <w:sz w:val="20"/>
          <w:szCs w:val="20"/>
        </w:rPr>
        <w:t>Sociedad</w:t>
      </w:r>
      <w:r w:rsidRPr="00C67C91">
        <w:rPr>
          <w:rFonts w:ascii="Arial" w:hAnsi="Arial" w:cs="Arial"/>
          <w:sz w:val="20"/>
          <w:szCs w:val="20"/>
        </w:rPr>
        <w:t xml:space="preserve"> incluye los intereses incorporados a los créditos comerciales con vencimiento no superior a un año que no tienen un tipo de interés contractual, cuando el efecto de no actualizar los flujos de efectivo no es significativo.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Los descuentos concedidos a clientes se reconocen en el momento en que es probable que se van a cumplir las condiciones que determinan su concesión como una reducción de los ingresos por ventas. </w:t>
      </w:r>
    </w:p>
    <w:p w:rsidR="00336822" w:rsidRPr="00C67C91" w:rsidRDefault="00336822" w:rsidP="00B467FA">
      <w:pPr>
        <w:pStyle w:val="CM23"/>
        <w:spacing w:before="120" w:after="120" w:line="260" w:lineRule="exact"/>
        <w:jc w:val="both"/>
        <w:rPr>
          <w:rFonts w:ascii="Arial" w:hAnsi="Arial" w:cs="Arial"/>
          <w:sz w:val="20"/>
          <w:szCs w:val="20"/>
        </w:rPr>
      </w:pPr>
      <w:r w:rsidRPr="00C67C91">
        <w:rPr>
          <w:rFonts w:ascii="Arial" w:hAnsi="Arial" w:cs="Arial"/>
          <w:sz w:val="20"/>
          <w:szCs w:val="20"/>
        </w:rPr>
        <w:t xml:space="preserve">Los anticipos a cuenta de ventas futuras figuran valorados por el valor recibido. </w:t>
      </w:r>
    </w:p>
    <w:p w:rsidR="00336822" w:rsidRPr="00C67C91" w:rsidRDefault="00336822" w:rsidP="00B467FA">
      <w:pPr>
        <w:pStyle w:val="CM20"/>
        <w:spacing w:before="120" w:after="120" w:line="260" w:lineRule="exact"/>
        <w:jc w:val="both"/>
        <w:rPr>
          <w:rFonts w:ascii="Arial" w:hAnsi="Arial" w:cs="Arial"/>
          <w:b/>
          <w:sz w:val="20"/>
          <w:szCs w:val="20"/>
          <w:u w:val="single"/>
        </w:rPr>
      </w:pPr>
      <w:r w:rsidRPr="00C67C91">
        <w:rPr>
          <w:rFonts w:ascii="Arial" w:hAnsi="Arial" w:cs="Arial"/>
          <w:b/>
          <w:sz w:val="20"/>
          <w:szCs w:val="20"/>
          <w:u w:val="single"/>
        </w:rPr>
        <w:t>3.</w:t>
      </w:r>
      <w:r w:rsidR="009F3580" w:rsidRPr="00C67C91">
        <w:rPr>
          <w:rFonts w:ascii="Arial" w:hAnsi="Arial" w:cs="Arial"/>
          <w:b/>
          <w:sz w:val="20"/>
          <w:szCs w:val="20"/>
          <w:u w:val="single"/>
        </w:rPr>
        <w:t>7</w:t>
      </w:r>
      <w:r w:rsidRPr="00C67C91">
        <w:rPr>
          <w:rFonts w:ascii="Arial" w:hAnsi="Arial" w:cs="Arial"/>
          <w:b/>
          <w:sz w:val="20"/>
          <w:szCs w:val="20"/>
          <w:u w:val="single"/>
        </w:rPr>
        <w:t xml:space="preserve"> Criterios empleados en transa</w:t>
      </w:r>
      <w:r w:rsidR="009F3580" w:rsidRPr="00C67C91">
        <w:rPr>
          <w:rFonts w:ascii="Arial" w:hAnsi="Arial" w:cs="Arial"/>
          <w:b/>
          <w:sz w:val="20"/>
          <w:szCs w:val="20"/>
          <w:u w:val="single"/>
        </w:rPr>
        <w:t>cciones entre partes vinculadas</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Esta norma de valoración afecta a las partes vinculadas que se explicitan en la Norma de elaboración de cuentas anuales 13ª del Plan General de Contabilidad. En este sentido: </w:t>
      </w:r>
    </w:p>
    <w:p w:rsidR="009F3580" w:rsidRPr="00C67C91" w:rsidRDefault="00336822" w:rsidP="00B467FA">
      <w:pPr>
        <w:pStyle w:val="Default"/>
        <w:numPr>
          <w:ilvl w:val="0"/>
          <w:numId w:val="8"/>
        </w:numPr>
        <w:spacing w:before="120" w:after="120" w:line="260" w:lineRule="exact"/>
        <w:jc w:val="both"/>
        <w:rPr>
          <w:rFonts w:ascii="Arial" w:hAnsi="Arial" w:cs="Arial"/>
          <w:color w:val="auto"/>
          <w:sz w:val="20"/>
          <w:szCs w:val="20"/>
        </w:rPr>
      </w:pPr>
      <w:r w:rsidRPr="00C67C91">
        <w:rPr>
          <w:rFonts w:ascii="Arial" w:hAnsi="Arial" w:cs="Arial"/>
          <w:color w:val="auto"/>
          <w:sz w:val="20"/>
          <w:szCs w:val="20"/>
        </w:rPr>
        <w:t>Se entenderá que una empresa forma part</w:t>
      </w:r>
      <w:r w:rsidR="009F3580" w:rsidRPr="00C67C91">
        <w:rPr>
          <w:rFonts w:ascii="Arial" w:hAnsi="Arial" w:cs="Arial"/>
          <w:color w:val="auto"/>
          <w:sz w:val="20"/>
          <w:szCs w:val="20"/>
        </w:rPr>
        <w:t xml:space="preserve">e del grupo cuando ambas estén </w:t>
      </w:r>
      <w:r w:rsidRPr="00C67C91">
        <w:rPr>
          <w:rFonts w:ascii="Arial" w:hAnsi="Arial" w:cs="Arial"/>
          <w:sz w:val="20"/>
          <w:szCs w:val="20"/>
        </w:rPr>
        <w:t>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w:t>
      </w:r>
      <w:r w:rsidR="009F3580" w:rsidRPr="00C67C91">
        <w:rPr>
          <w:rFonts w:ascii="Arial" w:hAnsi="Arial" w:cs="Arial"/>
          <w:sz w:val="20"/>
          <w:szCs w:val="20"/>
        </w:rPr>
        <w:t>erdos o cláusulas estatutarias.</w:t>
      </w:r>
    </w:p>
    <w:p w:rsidR="009F3580" w:rsidRPr="00C67C91" w:rsidRDefault="00336822" w:rsidP="00B467FA">
      <w:pPr>
        <w:pStyle w:val="Default"/>
        <w:keepNext/>
        <w:keepLines/>
        <w:numPr>
          <w:ilvl w:val="0"/>
          <w:numId w:val="8"/>
        </w:numPr>
        <w:spacing w:before="120" w:after="120" w:line="260" w:lineRule="exact"/>
        <w:ind w:left="714" w:hanging="357"/>
        <w:jc w:val="both"/>
        <w:rPr>
          <w:rFonts w:ascii="Arial" w:hAnsi="Arial" w:cs="Arial"/>
          <w:color w:val="auto"/>
          <w:sz w:val="20"/>
          <w:szCs w:val="20"/>
        </w:rPr>
      </w:pPr>
      <w:r w:rsidRPr="00C67C91">
        <w:rPr>
          <w:rFonts w:ascii="Arial" w:hAnsi="Arial" w:cs="Arial"/>
          <w:sz w:val="20"/>
          <w:szCs w:val="20"/>
        </w:rPr>
        <w:lastRenderedPageBreak/>
        <w:t>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w:t>
      </w:r>
      <w:r w:rsidR="009F3580" w:rsidRPr="00C67C91">
        <w:rPr>
          <w:rFonts w:ascii="Arial" w:hAnsi="Arial" w:cs="Arial"/>
          <w:sz w:val="20"/>
          <w:szCs w:val="20"/>
        </w:rPr>
        <w:t>oración de cuentas anuales 13ª.</w:t>
      </w:r>
    </w:p>
    <w:p w:rsidR="00336822" w:rsidRPr="00C67C91" w:rsidRDefault="00336822" w:rsidP="00B467FA">
      <w:pPr>
        <w:pStyle w:val="Default"/>
        <w:numPr>
          <w:ilvl w:val="0"/>
          <w:numId w:val="8"/>
        </w:numPr>
        <w:spacing w:before="120" w:after="120" w:line="260" w:lineRule="exact"/>
        <w:jc w:val="both"/>
        <w:rPr>
          <w:rFonts w:ascii="Arial" w:hAnsi="Arial" w:cs="Arial"/>
          <w:color w:val="auto"/>
          <w:sz w:val="20"/>
          <w:szCs w:val="20"/>
        </w:rPr>
      </w:pPr>
      <w:r w:rsidRPr="00C67C91">
        <w:rPr>
          <w:rFonts w:ascii="Arial" w:hAnsi="Arial" w:cs="Arial"/>
          <w:sz w:val="20"/>
          <w:szCs w:val="20"/>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526344"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Se consideran partes vinculadas a la Sociedad, adicionalmente a las empresas del grupo, asociadas y </w:t>
      </w:r>
      <w:proofErr w:type="spellStart"/>
      <w:r w:rsidRPr="00C67C91">
        <w:rPr>
          <w:rFonts w:ascii="Arial" w:hAnsi="Arial" w:cs="Arial"/>
          <w:sz w:val="20"/>
          <w:szCs w:val="20"/>
        </w:rPr>
        <w:t>multigrupo</w:t>
      </w:r>
      <w:proofErr w:type="spellEnd"/>
      <w:r w:rsidRPr="00C67C91">
        <w:rPr>
          <w:rFonts w:ascii="Arial" w:hAnsi="Arial" w:cs="Arial"/>
          <w:sz w:val="20"/>
          <w:szCs w:val="20"/>
        </w:rPr>
        <w:t xml:space="preserve">,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w:t>
      </w:r>
      <w:r w:rsidR="00526344" w:rsidRPr="00C67C91">
        <w:rPr>
          <w:rFonts w:ascii="Arial" w:hAnsi="Arial" w:cs="Arial"/>
          <w:sz w:val="20"/>
          <w:szCs w:val="20"/>
        </w:rPr>
        <w:t>Asimismo,</w:t>
      </w:r>
      <w:r w:rsidRPr="00C67C91">
        <w:rPr>
          <w:rFonts w:ascii="Arial" w:hAnsi="Arial" w:cs="Arial"/>
          <w:sz w:val="20"/>
          <w:szCs w:val="20"/>
        </w:rPr>
        <w:t xml:space="preserve">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 </w:t>
      </w:r>
    </w:p>
    <w:p w:rsidR="00336822" w:rsidRPr="00C67C91" w:rsidRDefault="00336822" w:rsidP="00B467FA">
      <w:pPr>
        <w:pStyle w:val="CM20"/>
        <w:spacing w:before="120" w:after="120" w:line="260" w:lineRule="exact"/>
        <w:jc w:val="both"/>
        <w:rPr>
          <w:rFonts w:ascii="Arial" w:hAnsi="Arial" w:cs="Arial"/>
          <w:b/>
          <w:sz w:val="20"/>
          <w:szCs w:val="20"/>
          <w:u w:val="single"/>
        </w:rPr>
      </w:pPr>
      <w:r w:rsidRPr="00C67C91">
        <w:rPr>
          <w:rFonts w:ascii="Arial" w:hAnsi="Arial" w:cs="Arial"/>
          <w:b/>
          <w:sz w:val="20"/>
          <w:szCs w:val="20"/>
          <w:u w:val="single"/>
        </w:rPr>
        <w:t>3.8 Derechos de emisión</w:t>
      </w:r>
      <w:r w:rsidR="002F0727" w:rsidRPr="00C67C91">
        <w:rPr>
          <w:rFonts w:ascii="Arial" w:hAnsi="Arial" w:cs="Arial"/>
          <w:b/>
          <w:sz w:val="20"/>
          <w:szCs w:val="20"/>
          <w:u w:val="single"/>
        </w:rPr>
        <w:t xml:space="preserve"> de gases de efecto invernadero</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 </w:t>
      </w:r>
    </w:p>
    <w:p w:rsidR="00336822" w:rsidRPr="00C67C91"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Los derechos de emisión no se amortizan. Y están sujetos a las correcciones valorativas por deterioro que sean necesarias. </w:t>
      </w:r>
    </w:p>
    <w:p w:rsidR="00B467FA" w:rsidRDefault="00336822"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w:t>
      </w:r>
    </w:p>
    <w:p w:rsidR="00336822" w:rsidRPr="00203EFC" w:rsidRDefault="00B467FA" w:rsidP="00B467FA">
      <w:pPr>
        <w:pStyle w:val="Default"/>
        <w:spacing w:before="240" w:after="120" w:line="280" w:lineRule="exact"/>
        <w:rPr>
          <w:rFonts w:ascii="Arial" w:hAnsi="Arial" w:cs="Arial"/>
          <w:b/>
          <w:bCs/>
          <w:sz w:val="20"/>
          <w:szCs w:val="20"/>
        </w:rPr>
      </w:pPr>
      <w:r>
        <w:br w:type="page"/>
      </w:r>
      <w:r w:rsidR="00951C2B" w:rsidRPr="00C67C91">
        <w:rPr>
          <w:rFonts w:ascii="Arial" w:hAnsi="Arial" w:cs="Arial"/>
          <w:b/>
          <w:bCs/>
          <w:sz w:val="20"/>
          <w:szCs w:val="20"/>
        </w:rPr>
        <w:lastRenderedPageBreak/>
        <w:t>4.-</w:t>
      </w:r>
      <w:r w:rsidR="00203EFC">
        <w:rPr>
          <w:rFonts w:ascii="Arial" w:hAnsi="Arial" w:cs="Arial"/>
          <w:b/>
          <w:bCs/>
          <w:sz w:val="20"/>
          <w:szCs w:val="20"/>
        </w:rPr>
        <w:t xml:space="preserve"> </w:t>
      </w:r>
      <w:r w:rsidR="00951C2B" w:rsidRPr="00C67C91">
        <w:rPr>
          <w:rFonts w:ascii="Arial" w:hAnsi="Arial" w:cs="Arial"/>
          <w:b/>
          <w:bCs/>
          <w:sz w:val="20"/>
          <w:szCs w:val="20"/>
        </w:rPr>
        <w:t>INMOVILIZADO MATERIAL</w:t>
      </w:r>
    </w:p>
    <w:p w:rsidR="00951C2B" w:rsidRPr="00C67C91" w:rsidRDefault="00951C2B" w:rsidP="00B467FA">
      <w:pPr>
        <w:pStyle w:val="CM25"/>
        <w:spacing w:before="120" w:after="120" w:line="260" w:lineRule="exact"/>
        <w:jc w:val="both"/>
        <w:rPr>
          <w:rFonts w:ascii="Arial" w:hAnsi="Arial" w:cs="Arial"/>
          <w:sz w:val="20"/>
          <w:szCs w:val="20"/>
        </w:rPr>
      </w:pPr>
      <w:r w:rsidRPr="00C67C91">
        <w:rPr>
          <w:rFonts w:ascii="Arial" w:hAnsi="Arial" w:cs="Arial"/>
          <w:sz w:val="20"/>
          <w:szCs w:val="20"/>
        </w:rPr>
        <w:t xml:space="preserve">El detalle y movimiento del inmovilizado material </w:t>
      </w:r>
      <w:r w:rsidR="00B467FA">
        <w:rPr>
          <w:rFonts w:ascii="Arial" w:hAnsi="Arial" w:cs="Arial"/>
          <w:sz w:val="20"/>
          <w:szCs w:val="20"/>
        </w:rPr>
        <w:t>en</w:t>
      </w:r>
      <w:r w:rsidRPr="00C67C91">
        <w:rPr>
          <w:rFonts w:ascii="Arial" w:hAnsi="Arial" w:cs="Arial"/>
          <w:sz w:val="20"/>
          <w:szCs w:val="20"/>
        </w:rPr>
        <w:t xml:space="preserve"> el ejercicio 20</w:t>
      </w:r>
      <w:r w:rsidR="00FA495B" w:rsidRPr="00C67C91">
        <w:rPr>
          <w:rFonts w:ascii="Arial" w:hAnsi="Arial" w:cs="Arial"/>
          <w:sz w:val="20"/>
          <w:szCs w:val="20"/>
        </w:rPr>
        <w:t>20</w:t>
      </w:r>
      <w:r w:rsidRPr="00C67C91">
        <w:rPr>
          <w:rFonts w:ascii="Arial" w:hAnsi="Arial" w:cs="Arial"/>
          <w:sz w:val="20"/>
          <w:szCs w:val="20"/>
        </w:rPr>
        <w:t xml:space="preserve"> es el siguiente, en euros: </w:t>
      </w:r>
    </w:p>
    <w:tbl>
      <w:tblPr>
        <w:tblW w:w="5000" w:type="pct"/>
        <w:tblCellMar>
          <w:left w:w="70" w:type="dxa"/>
          <w:right w:w="70" w:type="dxa"/>
        </w:tblCellMar>
        <w:tblLook w:val="04A0"/>
      </w:tblPr>
      <w:tblGrid>
        <w:gridCol w:w="3129"/>
        <w:gridCol w:w="1668"/>
        <w:gridCol w:w="1210"/>
        <w:gridCol w:w="1184"/>
        <w:gridCol w:w="1454"/>
      </w:tblGrid>
      <w:tr w:rsidR="00A97633" w:rsidRPr="00C67C91" w:rsidTr="008C2F9C">
        <w:trPr>
          <w:trHeight w:val="312"/>
        </w:trPr>
        <w:tc>
          <w:tcPr>
            <w:tcW w:w="1809" w:type="pct"/>
            <w:tcBorders>
              <w:top w:val="single" w:sz="4" w:space="0" w:color="auto"/>
              <w:left w:val="nil"/>
              <w:bottom w:val="single" w:sz="4" w:space="0" w:color="auto"/>
              <w:right w:val="nil"/>
            </w:tcBorders>
            <w:shd w:val="clear" w:color="000000" w:fill="D9D9D9"/>
            <w:vAlign w:val="bottom"/>
            <w:hideMark/>
          </w:tcPr>
          <w:p w:rsidR="00A97633" w:rsidRPr="00C67C91" w:rsidRDefault="00A97633" w:rsidP="00A02770">
            <w:pPr>
              <w:spacing w:after="0" w:line="240" w:lineRule="auto"/>
              <w:rPr>
                <w:rFonts w:ascii="Arial" w:hAnsi="Arial" w:cs="Arial"/>
                <w:color w:val="000000"/>
                <w:sz w:val="18"/>
                <w:szCs w:val="18"/>
              </w:rPr>
            </w:pPr>
            <w:r w:rsidRPr="00C67C91">
              <w:rPr>
                <w:rFonts w:ascii="Arial" w:hAnsi="Arial" w:cs="Arial"/>
                <w:color w:val="000000"/>
                <w:sz w:val="18"/>
                <w:szCs w:val="18"/>
              </w:rPr>
              <w:t> </w:t>
            </w:r>
          </w:p>
        </w:tc>
        <w:tc>
          <w:tcPr>
            <w:tcW w:w="965" w:type="pct"/>
            <w:tcBorders>
              <w:top w:val="single" w:sz="4" w:space="0" w:color="auto"/>
              <w:left w:val="nil"/>
              <w:bottom w:val="single" w:sz="4" w:space="0" w:color="auto"/>
              <w:right w:val="nil"/>
            </w:tcBorders>
            <w:shd w:val="clear" w:color="000000" w:fill="D9D9D9"/>
            <w:vAlign w:val="bottom"/>
            <w:hideMark/>
          </w:tcPr>
          <w:p w:rsidR="00A97633" w:rsidRPr="00C67C91" w:rsidRDefault="00B467FA" w:rsidP="009F358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31/12/2019</w:t>
            </w:r>
          </w:p>
        </w:tc>
        <w:tc>
          <w:tcPr>
            <w:tcW w:w="700" w:type="pct"/>
            <w:tcBorders>
              <w:top w:val="single" w:sz="4" w:space="0" w:color="auto"/>
              <w:left w:val="nil"/>
              <w:bottom w:val="single" w:sz="4" w:space="0" w:color="auto"/>
              <w:right w:val="nil"/>
            </w:tcBorders>
            <w:shd w:val="clear" w:color="000000" w:fill="D9D9D9"/>
            <w:vAlign w:val="bottom"/>
            <w:hideMark/>
          </w:tcPr>
          <w:p w:rsidR="00A97633" w:rsidRPr="00C67C91" w:rsidRDefault="00A97633" w:rsidP="009F358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Altas</w:t>
            </w:r>
          </w:p>
        </w:tc>
        <w:tc>
          <w:tcPr>
            <w:tcW w:w="685" w:type="pct"/>
            <w:tcBorders>
              <w:top w:val="single" w:sz="4" w:space="0" w:color="auto"/>
              <w:left w:val="nil"/>
              <w:bottom w:val="single" w:sz="4" w:space="0" w:color="auto"/>
              <w:right w:val="nil"/>
            </w:tcBorders>
            <w:shd w:val="clear" w:color="000000" w:fill="D9D9D9"/>
            <w:vAlign w:val="bottom"/>
            <w:hideMark/>
          </w:tcPr>
          <w:p w:rsidR="00A97633" w:rsidRPr="00C67C91" w:rsidRDefault="00A97633" w:rsidP="009F358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Traspasos</w:t>
            </w:r>
          </w:p>
        </w:tc>
        <w:tc>
          <w:tcPr>
            <w:tcW w:w="842" w:type="pct"/>
            <w:tcBorders>
              <w:top w:val="single" w:sz="4" w:space="0" w:color="auto"/>
              <w:left w:val="nil"/>
              <w:bottom w:val="single" w:sz="4" w:space="0" w:color="auto"/>
              <w:right w:val="nil"/>
            </w:tcBorders>
            <w:shd w:val="clear" w:color="000000" w:fill="D9D9D9"/>
            <w:vAlign w:val="bottom"/>
            <w:hideMark/>
          </w:tcPr>
          <w:p w:rsidR="00A97633" w:rsidRPr="00C67C91" w:rsidRDefault="00A97633" w:rsidP="009F358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31/12/2020</w:t>
            </w:r>
          </w:p>
        </w:tc>
      </w:tr>
      <w:tr w:rsidR="00E96706" w:rsidRPr="00C67C91" w:rsidTr="00B467FA">
        <w:trPr>
          <w:trHeight w:val="251"/>
        </w:trPr>
        <w:tc>
          <w:tcPr>
            <w:tcW w:w="1809" w:type="pct"/>
            <w:tcBorders>
              <w:top w:val="single" w:sz="4" w:space="0" w:color="auto"/>
              <w:left w:val="nil"/>
              <w:bottom w:val="nil"/>
              <w:right w:val="nil"/>
            </w:tcBorders>
            <w:shd w:val="clear" w:color="auto" w:fill="F2F2F2" w:themeFill="background1" w:themeFillShade="F2"/>
            <w:vAlign w:val="center"/>
            <w:hideMark/>
          </w:tcPr>
          <w:p w:rsidR="00E96706" w:rsidRPr="00C67C91" w:rsidRDefault="009F3580"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Coste:</w:t>
            </w:r>
          </w:p>
        </w:tc>
        <w:tc>
          <w:tcPr>
            <w:tcW w:w="965" w:type="pct"/>
            <w:tcBorders>
              <w:top w:val="single" w:sz="4" w:space="0" w:color="auto"/>
              <w:left w:val="nil"/>
              <w:bottom w:val="nil"/>
              <w:right w:val="nil"/>
            </w:tcBorders>
            <w:shd w:val="clear" w:color="auto" w:fill="F2F2F2" w:themeFill="background1" w:themeFillShade="F2"/>
            <w:noWrap/>
            <w:vAlign w:val="center"/>
          </w:tcPr>
          <w:p w:rsidR="00E96706" w:rsidRPr="00C67C91" w:rsidRDefault="00E96706" w:rsidP="00A02770">
            <w:pPr>
              <w:spacing w:after="0" w:line="240" w:lineRule="auto"/>
              <w:jc w:val="right"/>
              <w:rPr>
                <w:rFonts w:ascii="Arial" w:hAnsi="Arial" w:cs="Arial"/>
                <w:b/>
                <w:bCs/>
                <w:color w:val="000000"/>
                <w:sz w:val="18"/>
                <w:szCs w:val="18"/>
              </w:rPr>
            </w:pPr>
          </w:p>
        </w:tc>
        <w:tc>
          <w:tcPr>
            <w:tcW w:w="700" w:type="pct"/>
            <w:tcBorders>
              <w:top w:val="single" w:sz="4" w:space="0" w:color="auto"/>
              <w:left w:val="nil"/>
              <w:bottom w:val="nil"/>
              <w:right w:val="nil"/>
            </w:tcBorders>
            <w:shd w:val="clear" w:color="auto" w:fill="F2F2F2" w:themeFill="background1" w:themeFillShade="F2"/>
            <w:noWrap/>
            <w:vAlign w:val="center"/>
          </w:tcPr>
          <w:p w:rsidR="00E96706" w:rsidRPr="00C67C91" w:rsidRDefault="00E96706" w:rsidP="00A02770">
            <w:pPr>
              <w:spacing w:after="0" w:line="240" w:lineRule="auto"/>
              <w:jc w:val="right"/>
              <w:rPr>
                <w:rFonts w:ascii="Arial" w:hAnsi="Arial" w:cs="Arial"/>
                <w:b/>
                <w:bCs/>
                <w:color w:val="000000"/>
                <w:sz w:val="18"/>
                <w:szCs w:val="18"/>
              </w:rPr>
            </w:pPr>
          </w:p>
        </w:tc>
        <w:tc>
          <w:tcPr>
            <w:tcW w:w="685" w:type="pct"/>
            <w:tcBorders>
              <w:top w:val="single" w:sz="4" w:space="0" w:color="auto"/>
              <w:left w:val="nil"/>
              <w:bottom w:val="nil"/>
              <w:right w:val="nil"/>
            </w:tcBorders>
            <w:shd w:val="clear" w:color="auto" w:fill="F2F2F2" w:themeFill="background1" w:themeFillShade="F2"/>
            <w:noWrap/>
            <w:vAlign w:val="center"/>
          </w:tcPr>
          <w:p w:rsidR="00E96706" w:rsidRPr="00C67C91" w:rsidRDefault="00E96706" w:rsidP="00A02770">
            <w:pPr>
              <w:spacing w:after="0" w:line="240" w:lineRule="auto"/>
              <w:jc w:val="right"/>
              <w:rPr>
                <w:rFonts w:ascii="Arial" w:hAnsi="Arial" w:cs="Arial"/>
                <w:b/>
                <w:bCs/>
                <w:color w:val="000000"/>
                <w:sz w:val="18"/>
                <w:szCs w:val="18"/>
              </w:rPr>
            </w:pPr>
          </w:p>
        </w:tc>
        <w:tc>
          <w:tcPr>
            <w:tcW w:w="842" w:type="pct"/>
            <w:tcBorders>
              <w:top w:val="single" w:sz="4" w:space="0" w:color="auto"/>
              <w:left w:val="nil"/>
              <w:bottom w:val="nil"/>
              <w:right w:val="nil"/>
            </w:tcBorders>
            <w:shd w:val="clear" w:color="auto" w:fill="F2F2F2" w:themeFill="background1" w:themeFillShade="F2"/>
            <w:noWrap/>
            <w:vAlign w:val="center"/>
          </w:tcPr>
          <w:p w:rsidR="00E96706" w:rsidRPr="00C67C91" w:rsidRDefault="00E96706" w:rsidP="00A02770">
            <w:pPr>
              <w:spacing w:after="0" w:line="240" w:lineRule="auto"/>
              <w:jc w:val="right"/>
              <w:rPr>
                <w:rFonts w:ascii="Arial" w:hAnsi="Arial" w:cs="Arial"/>
                <w:b/>
                <w:bCs/>
                <w:color w:val="000000"/>
                <w:sz w:val="18"/>
                <w:szCs w:val="18"/>
              </w:rPr>
            </w:pPr>
          </w:p>
        </w:tc>
      </w:tr>
      <w:tr w:rsidR="00E96706" w:rsidRPr="00C67C91" w:rsidTr="00B467FA">
        <w:trPr>
          <w:trHeight w:val="283"/>
        </w:trPr>
        <w:tc>
          <w:tcPr>
            <w:tcW w:w="1809" w:type="pct"/>
            <w:tcBorders>
              <w:top w:val="nil"/>
              <w:left w:val="nil"/>
              <w:bottom w:val="nil"/>
              <w:right w:val="nil"/>
            </w:tcBorders>
            <w:noWrap/>
            <w:vAlign w:val="center"/>
            <w:hideMark/>
          </w:tcPr>
          <w:p w:rsidR="00E96706" w:rsidRPr="00C67C91" w:rsidRDefault="00E96706" w:rsidP="009F3580">
            <w:pPr>
              <w:spacing w:after="0" w:line="240" w:lineRule="auto"/>
              <w:rPr>
                <w:rFonts w:ascii="Arial" w:hAnsi="Arial" w:cs="Arial"/>
                <w:color w:val="000000"/>
                <w:sz w:val="18"/>
                <w:szCs w:val="18"/>
              </w:rPr>
            </w:pPr>
            <w:proofErr w:type="spellStart"/>
            <w:r w:rsidRPr="00C67C91">
              <w:rPr>
                <w:rFonts w:ascii="Arial" w:hAnsi="Arial" w:cs="Arial"/>
                <w:color w:val="000000"/>
                <w:sz w:val="18"/>
                <w:szCs w:val="18"/>
              </w:rPr>
              <w:t>Instal</w:t>
            </w:r>
            <w:proofErr w:type="spellEnd"/>
            <w:r w:rsidR="009F3580" w:rsidRPr="00C67C91">
              <w:rPr>
                <w:rFonts w:ascii="Arial" w:hAnsi="Arial" w:cs="Arial"/>
                <w:color w:val="000000"/>
                <w:sz w:val="18"/>
                <w:szCs w:val="18"/>
              </w:rPr>
              <w:t xml:space="preserve">. </w:t>
            </w:r>
            <w:r w:rsidRPr="00C67C91">
              <w:rPr>
                <w:rFonts w:ascii="Arial" w:hAnsi="Arial" w:cs="Arial"/>
                <w:color w:val="000000"/>
                <w:sz w:val="18"/>
                <w:szCs w:val="18"/>
              </w:rPr>
              <w:t>técnicas</w:t>
            </w:r>
          </w:p>
        </w:tc>
        <w:tc>
          <w:tcPr>
            <w:tcW w:w="965" w:type="pct"/>
            <w:tcBorders>
              <w:top w:val="nil"/>
              <w:left w:val="nil"/>
              <w:bottom w:val="nil"/>
              <w:right w:val="nil"/>
            </w:tcBorders>
            <w:vAlign w:val="center"/>
            <w:hideMark/>
          </w:tcPr>
          <w:p w:rsidR="00E96706" w:rsidRPr="00C67C91" w:rsidRDefault="00E96706"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25.085.605,75</w:t>
            </w:r>
          </w:p>
        </w:tc>
        <w:tc>
          <w:tcPr>
            <w:tcW w:w="700" w:type="pct"/>
            <w:tcBorders>
              <w:top w:val="nil"/>
              <w:left w:val="nil"/>
              <w:bottom w:val="nil"/>
              <w:right w:val="nil"/>
            </w:tcBorders>
            <w:vAlign w:val="center"/>
            <w:hideMark/>
          </w:tcPr>
          <w:p w:rsidR="00E96706" w:rsidRPr="00C67C91" w:rsidRDefault="00E96706"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133.107,41</w:t>
            </w:r>
          </w:p>
        </w:tc>
        <w:tc>
          <w:tcPr>
            <w:tcW w:w="685" w:type="pct"/>
            <w:tcBorders>
              <w:top w:val="nil"/>
              <w:left w:val="nil"/>
              <w:bottom w:val="nil"/>
              <w:right w:val="nil"/>
            </w:tcBorders>
            <w:vAlign w:val="center"/>
            <w:hideMark/>
          </w:tcPr>
          <w:p w:rsidR="00E96706" w:rsidRPr="00C67C91" w:rsidRDefault="00E96706"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144.680,55</w:t>
            </w:r>
          </w:p>
        </w:tc>
        <w:tc>
          <w:tcPr>
            <w:tcW w:w="842" w:type="pct"/>
            <w:tcBorders>
              <w:top w:val="nil"/>
              <w:left w:val="nil"/>
              <w:bottom w:val="nil"/>
              <w:right w:val="nil"/>
            </w:tcBorders>
            <w:vAlign w:val="center"/>
            <w:hideMark/>
          </w:tcPr>
          <w:p w:rsidR="00E96706" w:rsidRPr="00C67C91" w:rsidRDefault="00E96706"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25.363.393,71</w:t>
            </w:r>
          </w:p>
        </w:tc>
      </w:tr>
      <w:tr w:rsidR="00BB30C6" w:rsidRPr="00C67C91" w:rsidTr="00B467FA">
        <w:trPr>
          <w:trHeight w:val="283"/>
        </w:trPr>
        <w:tc>
          <w:tcPr>
            <w:tcW w:w="1809" w:type="pct"/>
            <w:tcBorders>
              <w:top w:val="nil"/>
              <w:left w:val="nil"/>
              <w:bottom w:val="nil"/>
              <w:right w:val="nil"/>
            </w:tcBorders>
            <w:noWrap/>
            <w:vAlign w:val="center"/>
            <w:hideMark/>
          </w:tcPr>
          <w:p w:rsidR="00BB30C6" w:rsidRPr="00C67C91" w:rsidRDefault="00BB30C6" w:rsidP="009F3580">
            <w:pPr>
              <w:spacing w:after="0" w:line="240" w:lineRule="auto"/>
              <w:rPr>
                <w:rFonts w:ascii="Arial" w:hAnsi="Arial" w:cs="Arial"/>
                <w:color w:val="000000"/>
                <w:sz w:val="18"/>
                <w:szCs w:val="18"/>
              </w:rPr>
            </w:pPr>
            <w:proofErr w:type="spellStart"/>
            <w:r w:rsidRPr="00C67C91">
              <w:rPr>
                <w:rFonts w:ascii="Arial" w:hAnsi="Arial" w:cs="Arial"/>
                <w:color w:val="000000"/>
                <w:sz w:val="18"/>
                <w:szCs w:val="18"/>
              </w:rPr>
              <w:t>Instal</w:t>
            </w:r>
            <w:proofErr w:type="spellEnd"/>
            <w:r w:rsidR="009F3580" w:rsidRPr="00C67C91">
              <w:rPr>
                <w:rFonts w:ascii="Arial" w:hAnsi="Arial" w:cs="Arial"/>
                <w:color w:val="000000"/>
                <w:sz w:val="18"/>
                <w:szCs w:val="18"/>
              </w:rPr>
              <w:t>.</w:t>
            </w:r>
            <w:r w:rsidRPr="00C67C91">
              <w:rPr>
                <w:rFonts w:ascii="Arial" w:hAnsi="Arial" w:cs="Arial"/>
                <w:color w:val="000000"/>
                <w:sz w:val="18"/>
                <w:szCs w:val="18"/>
              </w:rPr>
              <w:t xml:space="preserve"> técnicas en montaje</w:t>
            </w:r>
          </w:p>
        </w:tc>
        <w:tc>
          <w:tcPr>
            <w:tcW w:w="965" w:type="pct"/>
            <w:tcBorders>
              <w:top w:val="nil"/>
              <w:left w:val="nil"/>
              <w:bottom w:val="nil"/>
              <w:right w:val="nil"/>
            </w:tcBorders>
            <w:vAlign w:val="center"/>
            <w:hideMark/>
          </w:tcPr>
          <w:p w:rsidR="00BB30C6" w:rsidRPr="00C67C91" w:rsidRDefault="00BB30C6"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144.680,55</w:t>
            </w:r>
          </w:p>
        </w:tc>
        <w:tc>
          <w:tcPr>
            <w:tcW w:w="700" w:type="pct"/>
            <w:tcBorders>
              <w:top w:val="nil"/>
              <w:left w:val="nil"/>
              <w:bottom w:val="nil"/>
              <w:right w:val="nil"/>
            </w:tcBorders>
            <w:vAlign w:val="center"/>
            <w:hideMark/>
          </w:tcPr>
          <w:p w:rsidR="00BB30C6" w:rsidRPr="00C67C91" w:rsidRDefault="00BB30C6"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w:t>
            </w:r>
          </w:p>
        </w:tc>
        <w:tc>
          <w:tcPr>
            <w:tcW w:w="685" w:type="pct"/>
            <w:tcBorders>
              <w:top w:val="nil"/>
              <w:left w:val="nil"/>
              <w:bottom w:val="nil"/>
              <w:right w:val="nil"/>
            </w:tcBorders>
            <w:vAlign w:val="center"/>
            <w:hideMark/>
          </w:tcPr>
          <w:p w:rsidR="00BB30C6" w:rsidRPr="00C67C91" w:rsidRDefault="00B94D7B" w:rsidP="00B94D7B">
            <w:pPr>
              <w:spacing w:after="0" w:line="240" w:lineRule="auto"/>
              <w:jc w:val="right"/>
              <w:rPr>
                <w:rFonts w:ascii="Arial" w:hAnsi="Arial" w:cs="Arial"/>
                <w:color w:val="000000"/>
                <w:sz w:val="18"/>
                <w:szCs w:val="18"/>
              </w:rPr>
            </w:pPr>
            <w:r>
              <w:rPr>
                <w:rFonts w:ascii="Arial" w:hAnsi="Arial" w:cs="Arial"/>
                <w:color w:val="000000"/>
                <w:sz w:val="18"/>
                <w:szCs w:val="18"/>
              </w:rPr>
              <w:t>-</w:t>
            </w:r>
            <w:r w:rsidR="00BB30C6" w:rsidRPr="00C67C91">
              <w:rPr>
                <w:rFonts w:ascii="Arial" w:hAnsi="Arial" w:cs="Arial"/>
                <w:color w:val="000000"/>
                <w:sz w:val="18"/>
                <w:szCs w:val="18"/>
              </w:rPr>
              <w:t>144.680,55</w:t>
            </w:r>
          </w:p>
        </w:tc>
        <w:tc>
          <w:tcPr>
            <w:tcW w:w="842" w:type="pct"/>
            <w:tcBorders>
              <w:top w:val="nil"/>
              <w:left w:val="nil"/>
              <w:bottom w:val="nil"/>
              <w:right w:val="nil"/>
            </w:tcBorders>
            <w:vAlign w:val="center"/>
            <w:hideMark/>
          </w:tcPr>
          <w:p w:rsidR="00BB30C6" w:rsidRPr="00C67C91" w:rsidRDefault="00BB30C6"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w:t>
            </w:r>
          </w:p>
        </w:tc>
      </w:tr>
      <w:tr w:rsidR="009F3580" w:rsidRPr="00C67C91" w:rsidTr="00B467FA">
        <w:trPr>
          <w:trHeight w:val="283"/>
        </w:trPr>
        <w:tc>
          <w:tcPr>
            <w:tcW w:w="1809" w:type="pct"/>
            <w:tcBorders>
              <w:top w:val="nil"/>
              <w:left w:val="nil"/>
              <w:bottom w:val="nil"/>
              <w:right w:val="nil"/>
            </w:tcBorders>
            <w:noWrap/>
            <w:vAlign w:val="center"/>
          </w:tcPr>
          <w:p w:rsidR="009F3580" w:rsidRPr="00C67C91" w:rsidRDefault="00B467FA" w:rsidP="009F3580">
            <w:pPr>
              <w:spacing w:after="0" w:line="240" w:lineRule="auto"/>
              <w:rPr>
                <w:rFonts w:ascii="Arial" w:hAnsi="Arial" w:cs="Arial"/>
                <w:color w:val="000000"/>
                <w:sz w:val="18"/>
                <w:szCs w:val="18"/>
              </w:rPr>
            </w:pPr>
            <w:r>
              <w:rPr>
                <w:rFonts w:ascii="Arial" w:hAnsi="Arial" w:cs="Arial"/>
                <w:color w:val="000000"/>
                <w:sz w:val="18"/>
                <w:szCs w:val="18"/>
              </w:rPr>
              <w:t>Total Coste</w:t>
            </w:r>
          </w:p>
        </w:tc>
        <w:tc>
          <w:tcPr>
            <w:tcW w:w="965" w:type="pct"/>
            <w:tcBorders>
              <w:top w:val="nil"/>
              <w:left w:val="nil"/>
              <w:bottom w:val="nil"/>
              <w:right w:val="nil"/>
            </w:tcBorders>
            <w:vAlign w:val="center"/>
          </w:tcPr>
          <w:p w:rsidR="009F3580" w:rsidRPr="00C67C91" w:rsidRDefault="009F3580" w:rsidP="009F358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25.230.286,30</w:t>
            </w:r>
          </w:p>
        </w:tc>
        <w:tc>
          <w:tcPr>
            <w:tcW w:w="700" w:type="pct"/>
            <w:tcBorders>
              <w:top w:val="nil"/>
              <w:left w:val="nil"/>
              <w:bottom w:val="nil"/>
              <w:right w:val="nil"/>
            </w:tcBorders>
            <w:vAlign w:val="center"/>
          </w:tcPr>
          <w:p w:rsidR="009F3580" w:rsidRPr="00C67C91" w:rsidRDefault="009F3580" w:rsidP="009F358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133.107,41</w:t>
            </w:r>
          </w:p>
        </w:tc>
        <w:tc>
          <w:tcPr>
            <w:tcW w:w="685" w:type="pct"/>
            <w:tcBorders>
              <w:top w:val="nil"/>
              <w:left w:val="nil"/>
              <w:bottom w:val="nil"/>
              <w:right w:val="nil"/>
            </w:tcBorders>
            <w:vAlign w:val="center"/>
          </w:tcPr>
          <w:p w:rsidR="009F3580" w:rsidRPr="00C67C91" w:rsidRDefault="009F3580" w:rsidP="009F358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w:t>
            </w:r>
          </w:p>
        </w:tc>
        <w:tc>
          <w:tcPr>
            <w:tcW w:w="842" w:type="pct"/>
            <w:tcBorders>
              <w:top w:val="nil"/>
              <w:left w:val="nil"/>
              <w:bottom w:val="nil"/>
              <w:right w:val="nil"/>
            </w:tcBorders>
            <w:vAlign w:val="center"/>
          </w:tcPr>
          <w:p w:rsidR="009F3580" w:rsidRPr="00C67C91" w:rsidRDefault="009F3580" w:rsidP="009F358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25.363.393,71</w:t>
            </w:r>
          </w:p>
        </w:tc>
      </w:tr>
      <w:tr w:rsidR="00BB30C6" w:rsidRPr="00C67C91" w:rsidTr="00B467FA">
        <w:trPr>
          <w:trHeight w:val="283"/>
        </w:trPr>
        <w:tc>
          <w:tcPr>
            <w:tcW w:w="1809" w:type="pct"/>
            <w:tcBorders>
              <w:top w:val="nil"/>
              <w:left w:val="nil"/>
              <w:bottom w:val="nil"/>
              <w:right w:val="nil"/>
            </w:tcBorders>
            <w:shd w:val="clear" w:color="auto" w:fill="F2F2F2" w:themeFill="background1" w:themeFillShade="F2"/>
            <w:vAlign w:val="center"/>
            <w:hideMark/>
          </w:tcPr>
          <w:p w:rsidR="00BB30C6" w:rsidRPr="00C67C91" w:rsidRDefault="009F3580" w:rsidP="009F3580">
            <w:pPr>
              <w:spacing w:after="0" w:line="240" w:lineRule="auto"/>
              <w:rPr>
                <w:rFonts w:ascii="Arial" w:hAnsi="Arial" w:cs="Arial"/>
                <w:b/>
                <w:bCs/>
                <w:color w:val="000000"/>
                <w:sz w:val="18"/>
                <w:szCs w:val="18"/>
              </w:rPr>
            </w:pPr>
            <w:proofErr w:type="spellStart"/>
            <w:r w:rsidRPr="00C67C91">
              <w:rPr>
                <w:rFonts w:ascii="Arial" w:hAnsi="Arial" w:cs="Arial"/>
                <w:b/>
                <w:bCs/>
                <w:color w:val="000000"/>
                <w:sz w:val="18"/>
                <w:szCs w:val="18"/>
              </w:rPr>
              <w:t>Amort</w:t>
            </w:r>
            <w:proofErr w:type="spellEnd"/>
            <w:r w:rsidRPr="00C67C91">
              <w:rPr>
                <w:rFonts w:ascii="Arial" w:hAnsi="Arial" w:cs="Arial"/>
                <w:b/>
                <w:bCs/>
                <w:color w:val="000000"/>
                <w:sz w:val="18"/>
                <w:szCs w:val="18"/>
              </w:rPr>
              <w:t>.</w:t>
            </w:r>
            <w:r w:rsidR="00BB30C6" w:rsidRPr="00C67C91">
              <w:rPr>
                <w:rFonts w:ascii="Arial" w:hAnsi="Arial" w:cs="Arial"/>
                <w:b/>
                <w:bCs/>
                <w:color w:val="000000"/>
                <w:sz w:val="18"/>
                <w:szCs w:val="18"/>
              </w:rPr>
              <w:t xml:space="preserve"> Acumulada</w:t>
            </w:r>
            <w:r w:rsidRPr="00C67C91">
              <w:rPr>
                <w:rFonts w:ascii="Arial" w:hAnsi="Arial" w:cs="Arial"/>
                <w:b/>
                <w:bCs/>
                <w:color w:val="000000"/>
                <w:sz w:val="18"/>
                <w:szCs w:val="18"/>
              </w:rPr>
              <w:t>:</w:t>
            </w:r>
          </w:p>
        </w:tc>
        <w:tc>
          <w:tcPr>
            <w:tcW w:w="965" w:type="pct"/>
            <w:tcBorders>
              <w:top w:val="nil"/>
              <w:left w:val="nil"/>
              <w:bottom w:val="nil"/>
              <w:right w:val="nil"/>
            </w:tcBorders>
            <w:shd w:val="clear" w:color="auto" w:fill="F2F2F2" w:themeFill="background1" w:themeFillShade="F2"/>
            <w:vAlign w:val="center"/>
          </w:tcPr>
          <w:p w:rsidR="00BB30C6" w:rsidRPr="00C67C91" w:rsidRDefault="00BB30C6" w:rsidP="009F3580">
            <w:pPr>
              <w:spacing w:after="0" w:line="240" w:lineRule="auto"/>
              <w:jc w:val="right"/>
              <w:rPr>
                <w:rFonts w:ascii="Arial" w:hAnsi="Arial" w:cs="Arial"/>
                <w:b/>
                <w:bCs/>
                <w:color w:val="000000"/>
                <w:sz w:val="18"/>
                <w:szCs w:val="18"/>
              </w:rPr>
            </w:pPr>
          </w:p>
        </w:tc>
        <w:tc>
          <w:tcPr>
            <w:tcW w:w="700" w:type="pct"/>
            <w:tcBorders>
              <w:top w:val="nil"/>
              <w:left w:val="nil"/>
              <w:bottom w:val="nil"/>
              <w:right w:val="nil"/>
            </w:tcBorders>
            <w:shd w:val="clear" w:color="auto" w:fill="F2F2F2" w:themeFill="background1" w:themeFillShade="F2"/>
            <w:vAlign w:val="center"/>
          </w:tcPr>
          <w:p w:rsidR="00BB30C6" w:rsidRPr="00C67C91" w:rsidRDefault="00BB30C6" w:rsidP="009F3580">
            <w:pPr>
              <w:spacing w:after="0" w:line="240" w:lineRule="auto"/>
              <w:jc w:val="right"/>
              <w:rPr>
                <w:rFonts w:ascii="Arial" w:hAnsi="Arial" w:cs="Arial"/>
                <w:b/>
                <w:bCs/>
                <w:color w:val="000000"/>
                <w:sz w:val="18"/>
                <w:szCs w:val="18"/>
              </w:rPr>
            </w:pPr>
          </w:p>
        </w:tc>
        <w:tc>
          <w:tcPr>
            <w:tcW w:w="685" w:type="pct"/>
            <w:tcBorders>
              <w:top w:val="nil"/>
              <w:left w:val="nil"/>
              <w:bottom w:val="nil"/>
              <w:right w:val="nil"/>
            </w:tcBorders>
            <w:shd w:val="clear" w:color="auto" w:fill="F2F2F2" w:themeFill="background1" w:themeFillShade="F2"/>
            <w:vAlign w:val="center"/>
          </w:tcPr>
          <w:p w:rsidR="00BB30C6" w:rsidRPr="00C67C91" w:rsidRDefault="00BB30C6" w:rsidP="009F3580">
            <w:pPr>
              <w:spacing w:after="0" w:line="240" w:lineRule="auto"/>
              <w:jc w:val="right"/>
              <w:rPr>
                <w:rFonts w:ascii="Arial" w:hAnsi="Arial" w:cs="Arial"/>
                <w:b/>
                <w:bCs/>
                <w:color w:val="000000"/>
                <w:sz w:val="18"/>
                <w:szCs w:val="18"/>
              </w:rPr>
            </w:pPr>
          </w:p>
        </w:tc>
        <w:tc>
          <w:tcPr>
            <w:tcW w:w="842" w:type="pct"/>
            <w:tcBorders>
              <w:top w:val="nil"/>
              <w:left w:val="nil"/>
              <w:bottom w:val="nil"/>
              <w:right w:val="nil"/>
            </w:tcBorders>
            <w:shd w:val="clear" w:color="auto" w:fill="F2F2F2" w:themeFill="background1" w:themeFillShade="F2"/>
            <w:vAlign w:val="center"/>
          </w:tcPr>
          <w:p w:rsidR="00BB30C6" w:rsidRPr="00C67C91" w:rsidRDefault="00BB30C6" w:rsidP="009F3580">
            <w:pPr>
              <w:spacing w:after="0" w:line="240" w:lineRule="auto"/>
              <w:jc w:val="right"/>
              <w:rPr>
                <w:rFonts w:ascii="Arial" w:hAnsi="Arial" w:cs="Arial"/>
                <w:b/>
                <w:bCs/>
                <w:color w:val="000000"/>
                <w:sz w:val="18"/>
                <w:szCs w:val="18"/>
              </w:rPr>
            </w:pPr>
          </w:p>
        </w:tc>
      </w:tr>
      <w:tr w:rsidR="00BB30C6" w:rsidRPr="00C67C91" w:rsidTr="00B467FA">
        <w:trPr>
          <w:trHeight w:val="283"/>
        </w:trPr>
        <w:tc>
          <w:tcPr>
            <w:tcW w:w="1809" w:type="pct"/>
            <w:tcBorders>
              <w:top w:val="nil"/>
              <w:left w:val="nil"/>
              <w:bottom w:val="nil"/>
              <w:right w:val="nil"/>
            </w:tcBorders>
            <w:shd w:val="clear" w:color="000000" w:fill="FFFFFF"/>
            <w:noWrap/>
            <w:vAlign w:val="center"/>
            <w:hideMark/>
          </w:tcPr>
          <w:p w:rsidR="00BB30C6" w:rsidRPr="00C67C91" w:rsidRDefault="00BB30C6" w:rsidP="009F3580">
            <w:pPr>
              <w:spacing w:after="0" w:line="240" w:lineRule="auto"/>
              <w:rPr>
                <w:rFonts w:ascii="Arial" w:hAnsi="Arial" w:cs="Arial"/>
                <w:color w:val="000000"/>
                <w:sz w:val="18"/>
                <w:szCs w:val="18"/>
              </w:rPr>
            </w:pPr>
            <w:proofErr w:type="spellStart"/>
            <w:r w:rsidRPr="00C67C91">
              <w:rPr>
                <w:rFonts w:ascii="Arial" w:hAnsi="Arial" w:cs="Arial"/>
                <w:color w:val="000000"/>
                <w:sz w:val="18"/>
                <w:szCs w:val="18"/>
              </w:rPr>
              <w:t>Instal</w:t>
            </w:r>
            <w:proofErr w:type="spellEnd"/>
            <w:r w:rsidR="009F3580" w:rsidRPr="00C67C91">
              <w:rPr>
                <w:rFonts w:ascii="Arial" w:hAnsi="Arial" w:cs="Arial"/>
                <w:color w:val="000000"/>
                <w:sz w:val="18"/>
                <w:szCs w:val="18"/>
              </w:rPr>
              <w:t>.</w:t>
            </w:r>
            <w:r w:rsidRPr="00C67C91">
              <w:rPr>
                <w:rFonts w:ascii="Arial" w:hAnsi="Arial" w:cs="Arial"/>
                <w:color w:val="000000"/>
                <w:sz w:val="18"/>
                <w:szCs w:val="18"/>
              </w:rPr>
              <w:t xml:space="preserve"> técnicas</w:t>
            </w:r>
          </w:p>
        </w:tc>
        <w:tc>
          <w:tcPr>
            <w:tcW w:w="965" w:type="pct"/>
            <w:tcBorders>
              <w:top w:val="nil"/>
              <w:left w:val="nil"/>
              <w:bottom w:val="nil"/>
              <w:right w:val="nil"/>
            </w:tcBorders>
            <w:vAlign w:val="center"/>
            <w:hideMark/>
          </w:tcPr>
          <w:p w:rsidR="00BB30C6" w:rsidRPr="00C67C91" w:rsidRDefault="009F3580"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w:t>
            </w:r>
            <w:r w:rsidR="00BB30C6" w:rsidRPr="00C67C91">
              <w:rPr>
                <w:rFonts w:ascii="Arial" w:hAnsi="Arial" w:cs="Arial"/>
                <w:color w:val="000000"/>
                <w:sz w:val="18"/>
                <w:szCs w:val="18"/>
              </w:rPr>
              <w:t>3.469.025,81</w:t>
            </w:r>
          </w:p>
        </w:tc>
        <w:tc>
          <w:tcPr>
            <w:tcW w:w="700" w:type="pct"/>
            <w:tcBorders>
              <w:top w:val="nil"/>
              <w:left w:val="nil"/>
              <w:bottom w:val="nil"/>
              <w:right w:val="nil"/>
            </w:tcBorders>
            <w:vAlign w:val="center"/>
            <w:hideMark/>
          </w:tcPr>
          <w:p w:rsidR="00BB30C6" w:rsidRPr="00C67C91" w:rsidRDefault="009F3580"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w:t>
            </w:r>
            <w:r w:rsidR="00BB30C6" w:rsidRPr="00C67C91">
              <w:rPr>
                <w:rFonts w:ascii="Arial" w:hAnsi="Arial" w:cs="Arial"/>
                <w:color w:val="000000"/>
                <w:sz w:val="18"/>
                <w:szCs w:val="18"/>
              </w:rPr>
              <w:t>838.972,56</w:t>
            </w:r>
          </w:p>
        </w:tc>
        <w:tc>
          <w:tcPr>
            <w:tcW w:w="685" w:type="pct"/>
            <w:tcBorders>
              <w:top w:val="nil"/>
              <w:left w:val="nil"/>
              <w:bottom w:val="nil"/>
              <w:right w:val="nil"/>
            </w:tcBorders>
            <w:vAlign w:val="center"/>
            <w:hideMark/>
          </w:tcPr>
          <w:p w:rsidR="00BB30C6" w:rsidRPr="00C67C91" w:rsidRDefault="00BB30C6"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w:t>
            </w:r>
          </w:p>
        </w:tc>
        <w:tc>
          <w:tcPr>
            <w:tcW w:w="842" w:type="pct"/>
            <w:tcBorders>
              <w:top w:val="nil"/>
              <w:left w:val="nil"/>
              <w:bottom w:val="nil"/>
              <w:right w:val="nil"/>
            </w:tcBorders>
            <w:vAlign w:val="center"/>
            <w:hideMark/>
          </w:tcPr>
          <w:p w:rsidR="00BB30C6" w:rsidRPr="00C67C91" w:rsidRDefault="009F3580"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w:t>
            </w:r>
            <w:r w:rsidR="00BB30C6" w:rsidRPr="00C67C91">
              <w:rPr>
                <w:rFonts w:ascii="Arial" w:hAnsi="Arial" w:cs="Arial"/>
                <w:color w:val="000000"/>
                <w:sz w:val="18"/>
                <w:szCs w:val="18"/>
              </w:rPr>
              <w:t>4.307.998,37</w:t>
            </w:r>
          </w:p>
        </w:tc>
      </w:tr>
      <w:tr w:rsidR="009F3580" w:rsidRPr="00C67C91" w:rsidTr="00B467FA">
        <w:trPr>
          <w:trHeight w:val="283"/>
        </w:trPr>
        <w:tc>
          <w:tcPr>
            <w:tcW w:w="1809" w:type="pct"/>
            <w:tcBorders>
              <w:top w:val="nil"/>
              <w:left w:val="nil"/>
              <w:bottom w:val="nil"/>
              <w:right w:val="nil"/>
            </w:tcBorders>
            <w:vAlign w:val="center"/>
          </w:tcPr>
          <w:p w:rsidR="009F3580" w:rsidRPr="00C67C91" w:rsidRDefault="00B467FA" w:rsidP="009F3580">
            <w:pPr>
              <w:spacing w:after="0" w:line="240" w:lineRule="auto"/>
              <w:rPr>
                <w:rFonts w:ascii="Arial" w:hAnsi="Arial" w:cs="Arial"/>
                <w:b/>
                <w:bCs/>
                <w:color w:val="000000"/>
                <w:sz w:val="18"/>
                <w:szCs w:val="18"/>
              </w:rPr>
            </w:pPr>
            <w:r>
              <w:rPr>
                <w:rFonts w:ascii="Arial" w:hAnsi="Arial" w:cs="Arial"/>
                <w:b/>
                <w:bCs/>
                <w:color w:val="000000"/>
                <w:sz w:val="18"/>
                <w:szCs w:val="18"/>
              </w:rPr>
              <w:t xml:space="preserve">Total </w:t>
            </w:r>
            <w:proofErr w:type="spellStart"/>
            <w:r>
              <w:rPr>
                <w:rFonts w:ascii="Arial" w:hAnsi="Arial" w:cs="Arial"/>
                <w:b/>
                <w:bCs/>
                <w:color w:val="000000"/>
                <w:sz w:val="18"/>
                <w:szCs w:val="18"/>
              </w:rPr>
              <w:t>amort</w:t>
            </w:r>
            <w:proofErr w:type="spellEnd"/>
            <w:r>
              <w:rPr>
                <w:rFonts w:ascii="Arial" w:hAnsi="Arial" w:cs="Arial"/>
                <w:b/>
                <w:bCs/>
                <w:color w:val="000000"/>
                <w:sz w:val="18"/>
                <w:szCs w:val="18"/>
              </w:rPr>
              <w:t>. acumulada</w:t>
            </w:r>
          </w:p>
        </w:tc>
        <w:tc>
          <w:tcPr>
            <w:tcW w:w="965" w:type="pct"/>
            <w:tcBorders>
              <w:top w:val="nil"/>
              <w:left w:val="nil"/>
              <w:bottom w:val="nil"/>
              <w:right w:val="nil"/>
            </w:tcBorders>
            <w:vAlign w:val="center"/>
          </w:tcPr>
          <w:p w:rsidR="009F3580" w:rsidRPr="00C67C91" w:rsidRDefault="009F3580" w:rsidP="009F358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-3.469.025,81</w:t>
            </w:r>
          </w:p>
        </w:tc>
        <w:tc>
          <w:tcPr>
            <w:tcW w:w="700" w:type="pct"/>
            <w:tcBorders>
              <w:top w:val="nil"/>
              <w:left w:val="nil"/>
              <w:bottom w:val="nil"/>
              <w:right w:val="nil"/>
            </w:tcBorders>
            <w:vAlign w:val="center"/>
          </w:tcPr>
          <w:p w:rsidR="009F3580" w:rsidRPr="00C67C91" w:rsidRDefault="009F3580" w:rsidP="009F358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-838.972,56</w:t>
            </w:r>
          </w:p>
        </w:tc>
        <w:tc>
          <w:tcPr>
            <w:tcW w:w="685" w:type="pct"/>
            <w:tcBorders>
              <w:top w:val="nil"/>
              <w:left w:val="nil"/>
              <w:bottom w:val="nil"/>
              <w:right w:val="nil"/>
            </w:tcBorders>
            <w:vAlign w:val="center"/>
          </w:tcPr>
          <w:p w:rsidR="009F3580" w:rsidRPr="00C67C91" w:rsidRDefault="009F3580" w:rsidP="009F358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w:t>
            </w:r>
          </w:p>
        </w:tc>
        <w:tc>
          <w:tcPr>
            <w:tcW w:w="842" w:type="pct"/>
            <w:tcBorders>
              <w:top w:val="nil"/>
              <w:left w:val="nil"/>
              <w:bottom w:val="nil"/>
              <w:right w:val="nil"/>
            </w:tcBorders>
            <w:vAlign w:val="center"/>
          </w:tcPr>
          <w:p w:rsidR="009F3580" w:rsidRPr="00C67C91" w:rsidRDefault="009F3580" w:rsidP="009F358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-4.307.998,37</w:t>
            </w:r>
          </w:p>
        </w:tc>
      </w:tr>
      <w:tr w:rsidR="00BB30C6" w:rsidRPr="00C67C91" w:rsidTr="00B467FA">
        <w:trPr>
          <w:trHeight w:val="263"/>
        </w:trPr>
        <w:tc>
          <w:tcPr>
            <w:tcW w:w="1809" w:type="pct"/>
            <w:tcBorders>
              <w:top w:val="single" w:sz="4" w:space="0" w:color="auto"/>
              <w:left w:val="nil"/>
              <w:bottom w:val="single" w:sz="4" w:space="0" w:color="auto"/>
              <w:right w:val="nil"/>
            </w:tcBorders>
            <w:shd w:val="clear" w:color="auto" w:fill="F2F2F2" w:themeFill="background1" w:themeFillShade="F2"/>
            <w:vAlign w:val="center"/>
            <w:hideMark/>
          </w:tcPr>
          <w:p w:rsidR="00BB30C6" w:rsidRPr="00B467FA" w:rsidRDefault="009F3580" w:rsidP="00A02770">
            <w:pPr>
              <w:spacing w:after="0" w:line="240" w:lineRule="auto"/>
              <w:rPr>
                <w:rFonts w:ascii="Arial" w:hAnsi="Arial" w:cs="Arial"/>
                <w:b/>
                <w:bCs/>
                <w:color w:val="000000"/>
                <w:sz w:val="18"/>
                <w:szCs w:val="18"/>
              </w:rPr>
            </w:pPr>
            <w:proofErr w:type="spellStart"/>
            <w:r w:rsidRPr="00B467FA">
              <w:rPr>
                <w:rFonts w:ascii="Arial" w:hAnsi="Arial" w:cs="Arial"/>
                <w:b/>
                <w:bCs/>
                <w:color w:val="000000"/>
                <w:sz w:val="18"/>
                <w:szCs w:val="18"/>
              </w:rPr>
              <w:t>Inmov</w:t>
            </w:r>
            <w:proofErr w:type="spellEnd"/>
            <w:r w:rsidRPr="00B467FA">
              <w:rPr>
                <w:rFonts w:ascii="Arial" w:hAnsi="Arial" w:cs="Arial"/>
                <w:b/>
                <w:bCs/>
                <w:color w:val="000000"/>
                <w:sz w:val="18"/>
                <w:szCs w:val="18"/>
              </w:rPr>
              <w:t>. Material, Neto</w:t>
            </w:r>
          </w:p>
        </w:tc>
        <w:tc>
          <w:tcPr>
            <w:tcW w:w="965" w:type="pct"/>
            <w:tcBorders>
              <w:top w:val="single" w:sz="4" w:space="0" w:color="auto"/>
              <w:left w:val="nil"/>
              <w:bottom w:val="single" w:sz="4" w:space="0" w:color="auto"/>
              <w:right w:val="nil"/>
            </w:tcBorders>
            <w:shd w:val="clear" w:color="auto" w:fill="F2F2F2" w:themeFill="background1" w:themeFillShade="F2"/>
            <w:vAlign w:val="center"/>
            <w:hideMark/>
          </w:tcPr>
          <w:p w:rsidR="00BB30C6" w:rsidRPr="00B467FA" w:rsidRDefault="00BB30C6" w:rsidP="009F3580">
            <w:pPr>
              <w:spacing w:after="0" w:line="240" w:lineRule="auto"/>
              <w:jc w:val="right"/>
              <w:rPr>
                <w:rFonts w:ascii="Arial" w:hAnsi="Arial" w:cs="Arial"/>
                <w:b/>
                <w:bCs/>
                <w:color w:val="000000"/>
                <w:sz w:val="18"/>
                <w:szCs w:val="18"/>
              </w:rPr>
            </w:pPr>
            <w:r w:rsidRPr="00B467FA">
              <w:rPr>
                <w:rFonts w:ascii="Arial" w:hAnsi="Arial" w:cs="Arial"/>
                <w:b/>
                <w:bCs/>
                <w:color w:val="000000"/>
                <w:sz w:val="18"/>
                <w:szCs w:val="18"/>
              </w:rPr>
              <w:t>21.761.260,49</w:t>
            </w:r>
          </w:p>
        </w:tc>
        <w:tc>
          <w:tcPr>
            <w:tcW w:w="700" w:type="pct"/>
            <w:tcBorders>
              <w:top w:val="single" w:sz="4" w:space="0" w:color="auto"/>
              <w:left w:val="nil"/>
              <w:bottom w:val="single" w:sz="4" w:space="0" w:color="auto"/>
              <w:right w:val="nil"/>
            </w:tcBorders>
            <w:shd w:val="clear" w:color="auto" w:fill="F2F2F2" w:themeFill="background1" w:themeFillShade="F2"/>
            <w:vAlign w:val="center"/>
            <w:hideMark/>
          </w:tcPr>
          <w:p w:rsidR="00BB30C6" w:rsidRPr="00B467FA" w:rsidRDefault="00BB30C6" w:rsidP="009F3580">
            <w:pPr>
              <w:spacing w:after="0" w:line="240" w:lineRule="auto"/>
              <w:jc w:val="right"/>
              <w:rPr>
                <w:rFonts w:ascii="Arial" w:hAnsi="Arial" w:cs="Arial"/>
                <w:b/>
                <w:bCs/>
                <w:color w:val="000000"/>
                <w:sz w:val="18"/>
                <w:szCs w:val="18"/>
              </w:rPr>
            </w:pPr>
          </w:p>
        </w:tc>
        <w:tc>
          <w:tcPr>
            <w:tcW w:w="685" w:type="pct"/>
            <w:tcBorders>
              <w:top w:val="single" w:sz="4" w:space="0" w:color="auto"/>
              <w:left w:val="nil"/>
              <w:bottom w:val="single" w:sz="4" w:space="0" w:color="auto"/>
              <w:right w:val="nil"/>
            </w:tcBorders>
            <w:shd w:val="clear" w:color="auto" w:fill="F2F2F2" w:themeFill="background1" w:themeFillShade="F2"/>
            <w:vAlign w:val="center"/>
          </w:tcPr>
          <w:p w:rsidR="00BB30C6" w:rsidRPr="00B467FA" w:rsidRDefault="00BB30C6" w:rsidP="009F3580">
            <w:pPr>
              <w:spacing w:after="0" w:line="240" w:lineRule="auto"/>
              <w:jc w:val="right"/>
              <w:rPr>
                <w:rFonts w:ascii="Arial" w:hAnsi="Arial" w:cs="Arial"/>
                <w:b/>
                <w:bCs/>
                <w:color w:val="000000"/>
                <w:sz w:val="18"/>
                <w:szCs w:val="18"/>
              </w:rPr>
            </w:pPr>
          </w:p>
        </w:tc>
        <w:tc>
          <w:tcPr>
            <w:tcW w:w="842" w:type="pct"/>
            <w:tcBorders>
              <w:top w:val="single" w:sz="4" w:space="0" w:color="auto"/>
              <w:left w:val="nil"/>
              <w:bottom w:val="single" w:sz="4" w:space="0" w:color="auto"/>
              <w:right w:val="nil"/>
            </w:tcBorders>
            <w:shd w:val="clear" w:color="auto" w:fill="F2F2F2" w:themeFill="background1" w:themeFillShade="F2"/>
            <w:vAlign w:val="center"/>
          </w:tcPr>
          <w:p w:rsidR="00BB30C6" w:rsidRPr="00C67C91" w:rsidRDefault="00756F01" w:rsidP="009F3580">
            <w:pPr>
              <w:spacing w:after="0" w:line="240" w:lineRule="auto"/>
              <w:jc w:val="right"/>
              <w:rPr>
                <w:rFonts w:ascii="Arial" w:hAnsi="Arial" w:cs="Arial"/>
                <w:b/>
                <w:bCs/>
                <w:color w:val="000000"/>
                <w:sz w:val="18"/>
                <w:szCs w:val="18"/>
              </w:rPr>
            </w:pPr>
            <w:r w:rsidRPr="00B467FA">
              <w:rPr>
                <w:rFonts w:ascii="Arial" w:hAnsi="Arial" w:cs="Arial"/>
                <w:b/>
                <w:bCs/>
                <w:color w:val="000000"/>
                <w:sz w:val="18"/>
                <w:szCs w:val="18"/>
              </w:rPr>
              <w:t>21.055.395,34</w:t>
            </w:r>
          </w:p>
        </w:tc>
      </w:tr>
    </w:tbl>
    <w:p w:rsidR="009F3580" w:rsidRPr="00C67C91" w:rsidRDefault="009F3580" w:rsidP="00B467FA">
      <w:pPr>
        <w:pStyle w:val="CM25"/>
        <w:spacing w:before="120" w:after="120" w:line="260" w:lineRule="exact"/>
        <w:jc w:val="both"/>
        <w:rPr>
          <w:rFonts w:ascii="Arial" w:hAnsi="Arial" w:cs="Arial"/>
          <w:sz w:val="20"/>
          <w:szCs w:val="20"/>
        </w:rPr>
      </w:pPr>
      <w:r w:rsidRPr="00C67C91">
        <w:rPr>
          <w:rFonts w:ascii="Arial" w:hAnsi="Arial" w:cs="Arial"/>
          <w:sz w:val="20"/>
          <w:szCs w:val="20"/>
        </w:rPr>
        <w:t xml:space="preserve">El detalle y movimiento del inmovilizado material </w:t>
      </w:r>
      <w:r w:rsidR="00B467FA">
        <w:rPr>
          <w:rFonts w:ascii="Arial" w:hAnsi="Arial" w:cs="Arial"/>
          <w:sz w:val="20"/>
          <w:szCs w:val="20"/>
        </w:rPr>
        <w:t>en el</w:t>
      </w:r>
      <w:r w:rsidRPr="00C67C91">
        <w:rPr>
          <w:rFonts w:ascii="Arial" w:hAnsi="Arial" w:cs="Arial"/>
          <w:sz w:val="20"/>
          <w:szCs w:val="20"/>
        </w:rPr>
        <w:t xml:space="preserve"> ejercicio 2019 es el siguiente, en euros: </w:t>
      </w:r>
    </w:p>
    <w:tbl>
      <w:tblPr>
        <w:tblW w:w="5000" w:type="pct"/>
        <w:tblCellMar>
          <w:left w:w="70" w:type="dxa"/>
          <w:right w:w="70" w:type="dxa"/>
        </w:tblCellMar>
        <w:tblLook w:val="04A0"/>
      </w:tblPr>
      <w:tblGrid>
        <w:gridCol w:w="3135"/>
        <w:gridCol w:w="1637"/>
        <w:gridCol w:w="1276"/>
        <w:gridCol w:w="1139"/>
        <w:gridCol w:w="1458"/>
      </w:tblGrid>
      <w:tr w:rsidR="00A97633" w:rsidRPr="00C67C91" w:rsidTr="00B467FA">
        <w:trPr>
          <w:trHeight w:val="312"/>
        </w:trPr>
        <w:tc>
          <w:tcPr>
            <w:tcW w:w="1813" w:type="pct"/>
            <w:tcBorders>
              <w:top w:val="single" w:sz="4" w:space="0" w:color="auto"/>
              <w:left w:val="nil"/>
              <w:bottom w:val="single" w:sz="4" w:space="0" w:color="auto"/>
              <w:right w:val="nil"/>
            </w:tcBorders>
            <w:shd w:val="clear" w:color="000000" w:fill="D9D9D9"/>
            <w:vAlign w:val="bottom"/>
            <w:hideMark/>
          </w:tcPr>
          <w:p w:rsidR="00A97633" w:rsidRPr="00C67C91" w:rsidRDefault="00A97633" w:rsidP="00C67C91">
            <w:pPr>
              <w:keepNext/>
              <w:keepLines/>
              <w:widowControl w:val="0"/>
              <w:spacing w:after="0" w:line="240" w:lineRule="auto"/>
              <w:jc w:val="center"/>
              <w:rPr>
                <w:rFonts w:ascii="Arial" w:hAnsi="Arial" w:cs="Arial"/>
                <w:color w:val="000000"/>
                <w:sz w:val="18"/>
                <w:szCs w:val="18"/>
              </w:rPr>
            </w:pPr>
          </w:p>
        </w:tc>
        <w:tc>
          <w:tcPr>
            <w:tcW w:w="947" w:type="pct"/>
            <w:tcBorders>
              <w:top w:val="single" w:sz="4" w:space="0" w:color="auto"/>
              <w:left w:val="nil"/>
              <w:bottom w:val="single" w:sz="4" w:space="0" w:color="auto"/>
              <w:right w:val="nil"/>
            </w:tcBorders>
            <w:shd w:val="clear" w:color="000000" w:fill="D9D9D9"/>
            <w:vAlign w:val="bottom"/>
            <w:hideMark/>
          </w:tcPr>
          <w:p w:rsidR="00A97633" w:rsidRPr="00C67C91" w:rsidRDefault="00A97633" w:rsidP="00C67C91">
            <w:pPr>
              <w:keepNext/>
              <w:keepLines/>
              <w:widowControl w:val="0"/>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01/01/2019</w:t>
            </w:r>
          </w:p>
        </w:tc>
        <w:tc>
          <w:tcPr>
            <w:tcW w:w="738" w:type="pct"/>
            <w:tcBorders>
              <w:top w:val="single" w:sz="4" w:space="0" w:color="auto"/>
              <w:left w:val="nil"/>
              <w:bottom w:val="single" w:sz="4" w:space="0" w:color="auto"/>
              <w:right w:val="nil"/>
            </w:tcBorders>
            <w:shd w:val="clear" w:color="000000" w:fill="D9D9D9"/>
            <w:vAlign w:val="bottom"/>
            <w:hideMark/>
          </w:tcPr>
          <w:p w:rsidR="00A97633" w:rsidRPr="00C67C91" w:rsidRDefault="00A97633" w:rsidP="00C67C91">
            <w:pPr>
              <w:keepNext/>
              <w:keepLines/>
              <w:widowControl w:val="0"/>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Altas</w:t>
            </w:r>
          </w:p>
        </w:tc>
        <w:tc>
          <w:tcPr>
            <w:tcW w:w="659" w:type="pct"/>
            <w:tcBorders>
              <w:top w:val="single" w:sz="4" w:space="0" w:color="auto"/>
              <w:left w:val="nil"/>
              <w:bottom w:val="single" w:sz="4" w:space="0" w:color="auto"/>
              <w:right w:val="nil"/>
            </w:tcBorders>
            <w:shd w:val="clear" w:color="000000" w:fill="D9D9D9"/>
            <w:vAlign w:val="bottom"/>
            <w:hideMark/>
          </w:tcPr>
          <w:p w:rsidR="00A97633" w:rsidRPr="00C67C91" w:rsidRDefault="00A97633" w:rsidP="00C67C91">
            <w:pPr>
              <w:keepNext/>
              <w:keepLines/>
              <w:widowControl w:val="0"/>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Traspasos</w:t>
            </w:r>
          </w:p>
        </w:tc>
        <w:tc>
          <w:tcPr>
            <w:tcW w:w="843" w:type="pct"/>
            <w:tcBorders>
              <w:top w:val="single" w:sz="4" w:space="0" w:color="auto"/>
              <w:left w:val="nil"/>
              <w:bottom w:val="single" w:sz="4" w:space="0" w:color="auto"/>
              <w:right w:val="nil"/>
            </w:tcBorders>
            <w:shd w:val="clear" w:color="000000" w:fill="D9D9D9"/>
            <w:vAlign w:val="bottom"/>
            <w:hideMark/>
          </w:tcPr>
          <w:p w:rsidR="00A97633" w:rsidRPr="00C67C91" w:rsidRDefault="00A97633" w:rsidP="00C67C91">
            <w:pPr>
              <w:keepNext/>
              <w:keepLines/>
              <w:widowControl w:val="0"/>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31/12/2019</w:t>
            </w:r>
          </w:p>
        </w:tc>
      </w:tr>
      <w:tr w:rsidR="009F3580" w:rsidRPr="00C67C91" w:rsidTr="00B467FA">
        <w:trPr>
          <w:trHeight w:val="171"/>
        </w:trPr>
        <w:tc>
          <w:tcPr>
            <w:tcW w:w="1813" w:type="pct"/>
            <w:tcBorders>
              <w:top w:val="single" w:sz="4" w:space="0" w:color="auto"/>
              <w:left w:val="nil"/>
              <w:bottom w:val="nil"/>
              <w:right w:val="nil"/>
            </w:tcBorders>
            <w:shd w:val="clear" w:color="auto" w:fill="F2F2F2" w:themeFill="background1" w:themeFillShade="F2"/>
            <w:vAlign w:val="center"/>
            <w:hideMark/>
          </w:tcPr>
          <w:p w:rsidR="009F3580" w:rsidRPr="00C67C91" w:rsidRDefault="009F3580" w:rsidP="00C67C91">
            <w:pPr>
              <w:keepNext/>
              <w:keepLines/>
              <w:widowControl w:val="0"/>
              <w:spacing w:after="0" w:line="240" w:lineRule="auto"/>
              <w:rPr>
                <w:rFonts w:ascii="Arial" w:hAnsi="Arial" w:cs="Arial"/>
                <w:b/>
                <w:bCs/>
                <w:color w:val="000000"/>
                <w:sz w:val="18"/>
                <w:szCs w:val="18"/>
              </w:rPr>
            </w:pPr>
            <w:r w:rsidRPr="00C67C91">
              <w:rPr>
                <w:rFonts w:ascii="Arial" w:hAnsi="Arial" w:cs="Arial"/>
                <w:b/>
                <w:bCs/>
                <w:color w:val="000000"/>
                <w:sz w:val="18"/>
                <w:szCs w:val="18"/>
              </w:rPr>
              <w:t>Coste:</w:t>
            </w:r>
          </w:p>
        </w:tc>
        <w:tc>
          <w:tcPr>
            <w:tcW w:w="947" w:type="pct"/>
            <w:tcBorders>
              <w:top w:val="single" w:sz="4" w:space="0" w:color="auto"/>
              <w:left w:val="nil"/>
              <w:bottom w:val="nil"/>
              <w:right w:val="nil"/>
            </w:tcBorders>
            <w:shd w:val="clear" w:color="auto" w:fill="F2F2F2" w:themeFill="background1" w:themeFillShade="F2"/>
            <w:vAlign w:val="center"/>
          </w:tcPr>
          <w:p w:rsidR="009F3580" w:rsidRPr="00C67C91" w:rsidRDefault="009F3580" w:rsidP="00C67C91">
            <w:pPr>
              <w:keepNext/>
              <w:keepLines/>
              <w:widowControl w:val="0"/>
              <w:spacing w:after="0" w:line="240" w:lineRule="auto"/>
              <w:jc w:val="right"/>
              <w:rPr>
                <w:rFonts w:ascii="Arial" w:hAnsi="Arial" w:cs="Arial"/>
                <w:b/>
                <w:bCs/>
                <w:color w:val="000000"/>
                <w:sz w:val="18"/>
                <w:szCs w:val="18"/>
              </w:rPr>
            </w:pPr>
          </w:p>
        </w:tc>
        <w:tc>
          <w:tcPr>
            <w:tcW w:w="738" w:type="pct"/>
            <w:tcBorders>
              <w:top w:val="single" w:sz="4" w:space="0" w:color="auto"/>
              <w:left w:val="nil"/>
              <w:bottom w:val="nil"/>
              <w:right w:val="nil"/>
            </w:tcBorders>
            <w:shd w:val="clear" w:color="auto" w:fill="F2F2F2" w:themeFill="background1" w:themeFillShade="F2"/>
            <w:vAlign w:val="center"/>
          </w:tcPr>
          <w:p w:rsidR="009F3580" w:rsidRPr="00C67C91" w:rsidRDefault="009F3580" w:rsidP="00C67C91">
            <w:pPr>
              <w:keepNext/>
              <w:keepLines/>
              <w:widowControl w:val="0"/>
              <w:spacing w:after="0" w:line="240" w:lineRule="auto"/>
              <w:jc w:val="right"/>
              <w:rPr>
                <w:rFonts w:ascii="Arial" w:hAnsi="Arial" w:cs="Arial"/>
                <w:b/>
                <w:bCs/>
                <w:color w:val="000000"/>
                <w:sz w:val="18"/>
                <w:szCs w:val="18"/>
              </w:rPr>
            </w:pPr>
          </w:p>
        </w:tc>
        <w:tc>
          <w:tcPr>
            <w:tcW w:w="659" w:type="pct"/>
            <w:tcBorders>
              <w:top w:val="single" w:sz="4" w:space="0" w:color="auto"/>
              <w:left w:val="nil"/>
              <w:bottom w:val="nil"/>
              <w:right w:val="nil"/>
            </w:tcBorders>
            <w:shd w:val="clear" w:color="auto" w:fill="F2F2F2" w:themeFill="background1" w:themeFillShade="F2"/>
            <w:vAlign w:val="center"/>
          </w:tcPr>
          <w:p w:rsidR="009F3580" w:rsidRPr="00C67C91" w:rsidRDefault="009F3580" w:rsidP="00C67C91">
            <w:pPr>
              <w:keepNext/>
              <w:keepLines/>
              <w:widowControl w:val="0"/>
              <w:spacing w:after="0" w:line="240" w:lineRule="auto"/>
              <w:jc w:val="right"/>
              <w:rPr>
                <w:rFonts w:ascii="Arial" w:hAnsi="Arial" w:cs="Arial"/>
                <w:b/>
                <w:bCs/>
                <w:color w:val="000000"/>
                <w:sz w:val="18"/>
                <w:szCs w:val="18"/>
              </w:rPr>
            </w:pPr>
          </w:p>
        </w:tc>
        <w:tc>
          <w:tcPr>
            <w:tcW w:w="843" w:type="pct"/>
            <w:tcBorders>
              <w:top w:val="single" w:sz="4" w:space="0" w:color="auto"/>
              <w:left w:val="nil"/>
              <w:bottom w:val="nil"/>
              <w:right w:val="nil"/>
            </w:tcBorders>
            <w:shd w:val="clear" w:color="auto" w:fill="F2F2F2" w:themeFill="background1" w:themeFillShade="F2"/>
            <w:vAlign w:val="center"/>
          </w:tcPr>
          <w:p w:rsidR="009F3580" w:rsidRPr="00C67C91" w:rsidRDefault="009F3580" w:rsidP="00C67C91">
            <w:pPr>
              <w:keepNext/>
              <w:keepLines/>
              <w:widowControl w:val="0"/>
              <w:spacing w:after="0" w:line="240" w:lineRule="auto"/>
              <w:jc w:val="right"/>
              <w:rPr>
                <w:rFonts w:ascii="Arial" w:hAnsi="Arial" w:cs="Arial"/>
                <w:b/>
                <w:bCs/>
                <w:color w:val="000000"/>
                <w:sz w:val="18"/>
                <w:szCs w:val="18"/>
              </w:rPr>
            </w:pPr>
          </w:p>
        </w:tc>
      </w:tr>
      <w:tr w:rsidR="009F3580" w:rsidRPr="00C67C91" w:rsidTr="00B467FA">
        <w:trPr>
          <w:trHeight w:val="282"/>
        </w:trPr>
        <w:tc>
          <w:tcPr>
            <w:tcW w:w="1813" w:type="pct"/>
            <w:tcBorders>
              <w:top w:val="nil"/>
              <w:left w:val="nil"/>
              <w:bottom w:val="nil"/>
              <w:right w:val="nil"/>
            </w:tcBorders>
            <w:noWrap/>
            <w:vAlign w:val="center"/>
            <w:hideMark/>
          </w:tcPr>
          <w:p w:rsidR="009F3580" w:rsidRPr="00C67C91" w:rsidRDefault="009F3580" w:rsidP="009F3580">
            <w:pPr>
              <w:spacing w:after="0" w:line="240" w:lineRule="auto"/>
              <w:rPr>
                <w:rFonts w:ascii="Arial" w:hAnsi="Arial" w:cs="Arial"/>
                <w:color w:val="000000"/>
                <w:sz w:val="18"/>
                <w:szCs w:val="18"/>
              </w:rPr>
            </w:pPr>
            <w:proofErr w:type="spellStart"/>
            <w:r w:rsidRPr="00C67C91">
              <w:rPr>
                <w:rFonts w:ascii="Arial" w:hAnsi="Arial" w:cs="Arial"/>
                <w:color w:val="000000"/>
                <w:sz w:val="18"/>
                <w:szCs w:val="18"/>
              </w:rPr>
              <w:t>Instal</w:t>
            </w:r>
            <w:proofErr w:type="spellEnd"/>
            <w:r w:rsidRPr="00C67C91">
              <w:rPr>
                <w:rFonts w:ascii="Arial" w:hAnsi="Arial" w:cs="Arial"/>
                <w:color w:val="000000"/>
                <w:sz w:val="18"/>
                <w:szCs w:val="18"/>
              </w:rPr>
              <w:t>. técnicas</w:t>
            </w:r>
          </w:p>
        </w:tc>
        <w:tc>
          <w:tcPr>
            <w:tcW w:w="947" w:type="pct"/>
            <w:tcBorders>
              <w:top w:val="nil"/>
              <w:left w:val="nil"/>
              <w:bottom w:val="nil"/>
              <w:right w:val="nil"/>
            </w:tcBorders>
            <w:vAlign w:val="center"/>
            <w:hideMark/>
          </w:tcPr>
          <w:p w:rsidR="009F3580" w:rsidRPr="00C67C91" w:rsidRDefault="009F3580"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25.085.605,75</w:t>
            </w:r>
          </w:p>
        </w:tc>
        <w:tc>
          <w:tcPr>
            <w:tcW w:w="738" w:type="pct"/>
            <w:tcBorders>
              <w:top w:val="nil"/>
              <w:left w:val="nil"/>
              <w:bottom w:val="nil"/>
              <w:right w:val="nil"/>
            </w:tcBorders>
            <w:vAlign w:val="center"/>
            <w:hideMark/>
          </w:tcPr>
          <w:p w:rsidR="009F3580" w:rsidRPr="00C67C91" w:rsidRDefault="009F3580"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w:t>
            </w:r>
          </w:p>
        </w:tc>
        <w:tc>
          <w:tcPr>
            <w:tcW w:w="659" w:type="pct"/>
            <w:tcBorders>
              <w:top w:val="nil"/>
              <w:left w:val="nil"/>
              <w:bottom w:val="nil"/>
              <w:right w:val="nil"/>
            </w:tcBorders>
            <w:vAlign w:val="center"/>
            <w:hideMark/>
          </w:tcPr>
          <w:p w:rsidR="009F3580" w:rsidRPr="00C67C91" w:rsidRDefault="009F3580"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w:t>
            </w:r>
          </w:p>
        </w:tc>
        <w:tc>
          <w:tcPr>
            <w:tcW w:w="843" w:type="pct"/>
            <w:tcBorders>
              <w:top w:val="nil"/>
              <w:left w:val="nil"/>
              <w:bottom w:val="nil"/>
              <w:right w:val="nil"/>
            </w:tcBorders>
            <w:vAlign w:val="center"/>
            <w:hideMark/>
          </w:tcPr>
          <w:p w:rsidR="009F3580" w:rsidRPr="00C67C91" w:rsidRDefault="009F3580"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25.085.605,75</w:t>
            </w:r>
          </w:p>
        </w:tc>
      </w:tr>
      <w:tr w:rsidR="009F3580" w:rsidRPr="00C67C91" w:rsidTr="00B467FA">
        <w:trPr>
          <w:trHeight w:val="282"/>
        </w:trPr>
        <w:tc>
          <w:tcPr>
            <w:tcW w:w="1813" w:type="pct"/>
            <w:tcBorders>
              <w:top w:val="nil"/>
              <w:left w:val="nil"/>
              <w:bottom w:val="nil"/>
              <w:right w:val="nil"/>
            </w:tcBorders>
            <w:noWrap/>
            <w:vAlign w:val="center"/>
            <w:hideMark/>
          </w:tcPr>
          <w:p w:rsidR="009F3580" w:rsidRPr="00C67C91" w:rsidRDefault="009F3580" w:rsidP="009F3580">
            <w:pPr>
              <w:spacing w:after="0" w:line="240" w:lineRule="auto"/>
              <w:rPr>
                <w:rFonts w:ascii="Arial" w:hAnsi="Arial" w:cs="Arial"/>
                <w:color w:val="000000"/>
                <w:sz w:val="18"/>
                <w:szCs w:val="18"/>
              </w:rPr>
            </w:pPr>
            <w:proofErr w:type="spellStart"/>
            <w:r w:rsidRPr="00C67C91">
              <w:rPr>
                <w:rFonts w:ascii="Arial" w:hAnsi="Arial" w:cs="Arial"/>
                <w:color w:val="000000"/>
                <w:sz w:val="18"/>
                <w:szCs w:val="18"/>
              </w:rPr>
              <w:t>Instal</w:t>
            </w:r>
            <w:proofErr w:type="spellEnd"/>
            <w:r w:rsidRPr="00C67C91">
              <w:rPr>
                <w:rFonts w:ascii="Arial" w:hAnsi="Arial" w:cs="Arial"/>
                <w:color w:val="000000"/>
                <w:sz w:val="18"/>
                <w:szCs w:val="18"/>
              </w:rPr>
              <w:t>. técnicas en montaje</w:t>
            </w:r>
          </w:p>
        </w:tc>
        <w:tc>
          <w:tcPr>
            <w:tcW w:w="947" w:type="pct"/>
            <w:tcBorders>
              <w:top w:val="nil"/>
              <w:left w:val="nil"/>
              <w:bottom w:val="nil"/>
              <w:right w:val="nil"/>
            </w:tcBorders>
            <w:vAlign w:val="center"/>
            <w:hideMark/>
          </w:tcPr>
          <w:p w:rsidR="009F3580" w:rsidRPr="00C67C91" w:rsidRDefault="009F3580"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w:t>
            </w:r>
          </w:p>
        </w:tc>
        <w:tc>
          <w:tcPr>
            <w:tcW w:w="738" w:type="pct"/>
            <w:tcBorders>
              <w:top w:val="nil"/>
              <w:left w:val="nil"/>
              <w:bottom w:val="nil"/>
              <w:right w:val="nil"/>
            </w:tcBorders>
            <w:vAlign w:val="center"/>
            <w:hideMark/>
          </w:tcPr>
          <w:p w:rsidR="009F3580" w:rsidRPr="00C67C91" w:rsidRDefault="009F3580"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144.680,55</w:t>
            </w:r>
          </w:p>
        </w:tc>
        <w:tc>
          <w:tcPr>
            <w:tcW w:w="659" w:type="pct"/>
            <w:tcBorders>
              <w:top w:val="nil"/>
              <w:left w:val="nil"/>
              <w:bottom w:val="nil"/>
              <w:right w:val="nil"/>
            </w:tcBorders>
            <w:vAlign w:val="center"/>
            <w:hideMark/>
          </w:tcPr>
          <w:p w:rsidR="009F3580" w:rsidRPr="00C67C91" w:rsidRDefault="009F3580"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w:t>
            </w:r>
          </w:p>
        </w:tc>
        <w:tc>
          <w:tcPr>
            <w:tcW w:w="843" w:type="pct"/>
            <w:tcBorders>
              <w:top w:val="nil"/>
              <w:left w:val="nil"/>
              <w:bottom w:val="nil"/>
              <w:right w:val="nil"/>
            </w:tcBorders>
            <w:vAlign w:val="center"/>
            <w:hideMark/>
          </w:tcPr>
          <w:p w:rsidR="009F3580" w:rsidRPr="00C67C91" w:rsidRDefault="009F3580" w:rsidP="009F3580">
            <w:pPr>
              <w:spacing w:after="0" w:line="240" w:lineRule="auto"/>
              <w:jc w:val="right"/>
              <w:rPr>
                <w:rFonts w:ascii="Arial" w:hAnsi="Arial" w:cs="Arial"/>
                <w:color w:val="000000"/>
                <w:sz w:val="18"/>
                <w:szCs w:val="18"/>
              </w:rPr>
            </w:pPr>
            <w:r w:rsidRPr="00C67C91">
              <w:rPr>
                <w:rFonts w:ascii="Arial" w:hAnsi="Arial" w:cs="Arial"/>
                <w:color w:val="000000"/>
                <w:sz w:val="18"/>
                <w:szCs w:val="18"/>
              </w:rPr>
              <w:t>144.680,55</w:t>
            </w:r>
          </w:p>
        </w:tc>
      </w:tr>
      <w:tr w:rsidR="00B467FA" w:rsidRPr="00C67C91" w:rsidTr="00B467FA">
        <w:trPr>
          <w:trHeight w:val="282"/>
        </w:trPr>
        <w:tc>
          <w:tcPr>
            <w:tcW w:w="1813" w:type="pct"/>
            <w:tcBorders>
              <w:top w:val="nil"/>
              <w:left w:val="nil"/>
              <w:bottom w:val="nil"/>
              <w:right w:val="nil"/>
            </w:tcBorders>
            <w:vAlign w:val="center"/>
            <w:hideMark/>
          </w:tcPr>
          <w:p w:rsidR="00B467FA" w:rsidRPr="00C67C91" w:rsidRDefault="00B467FA" w:rsidP="00B467FA">
            <w:pPr>
              <w:spacing w:after="0" w:line="240" w:lineRule="auto"/>
              <w:rPr>
                <w:rFonts w:ascii="Arial" w:hAnsi="Arial" w:cs="Arial"/>
                <w:color w:val="000000"/>
                <w:sz w:val="18"/>
                <w:szCs w:val="18"/>
              </w:rPr>
            </w:pPr>
            <w:r>
              <w:rPr>
                <w:rFonts w:ascii="Arial" w:hAnsi="Arial" w:cs="Arial"/>
                <w:color w:val="000000"/>
                <w:sz w:val="18"/>
                <w:szCs w:val="18"/>
              </w:rPr>
              <w:t>Total Coste</w:t>
            </w:r>
          </w:p>
        </w:tc>
        <w:tc>
          <w:tcPr>
            <w:tcW w:w="947" w:type="pct"/>
            <w:tcBorders>
              <w:top w:val="nil"/>
              <w:left w:val="nil"/>
              <w:bottom w:val="nil"/>
              <w:right w:val="nil"/>
            </w:tcBorders>
            <w:vAlign w:val="center"/>
          </w:tcPr>
          <w:p w:rsidR="00B467FA" w:rsidRPr="00C67C91" w:rsidRDefault="00B467FA" w:rsidP="00B467FA">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25.085.605,75</w:t>
            </w:r>
          </w:p>
        </w:tc>
        <w:tc>
          <w:tcPr>
            <w:tcW w:w="738" w:type="pct"/>
            <w:tcBorders>
              <w:top w:val="nil"/>
              <w:left w:val="nil"/>
              <w:bottom w:val="nil"/>
              <w:right w:val="nil"/>
            </w:tcBorders>
            <w:vAlign w:val="center"/>
          </w:tcPr>
          <w:p w:rsidR="00B467FA" w:rsidRPr="00C67C91" w:rsidRDefault="00B467FA" w:rsidP="00B467FA">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144.680,55</w:t>
            </w:r>
          </w:p>
        </w:tc>
        <w:tc>
          <w:tcPr>
            <w:tcW w:w="659" w:type="pct"/>
            <w:tcBorders>
              <w:top w:val="nil"/>
              <w:left w:val="nil"/>
              <w:bottom w:val="nil"/>
              <w:right w:val="nil"/>
            </w:tcBorders>
            <w:vAlign w:val="center"/>
          </w:tcPr>
          <w:p w:rsidR="00B467FA" w:rsidRPr="00C67C91" w:rsidRDefault="00B467FA" w:rsidP="00B467FA">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 </w:t>
            </w:r>
          </w:p>
        </w:tc>
        <w:tc>
          <w:tcPr>
            <w:tcW w:w="843" w:type="pct"/>
            <w:tcBorders>
              <w:top w:val="nil"/>
              <w:left w:val="nil"/>
              <w:bottom w:val="nil"/>
              <w:right w:val="nil"/>
            </w:tcBorders>
            <w:vAlign w:val="center"/>
          </w:tcPr>
          <w:p w:rsidR="00B467FA" w:rsidRPr="00C67C91" w:rsidRDefault="00B467FA" w:rsidP="00B467FA">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25.230.286,30</w:t>
            </w:r>
          </w:p>
        </w:tc>
      </w:tr>
      <w:tr w:rsidR="00B467FA" w:rsidRPr="00C67C91" w:rsidTr="00B467FA">
        <w:trPr>
          <w:trHeight w:val="282"/>
        </w:trPr>
        <w:tc>
          <w:tcPr>
            <w:tcW w:w="1813" w:type="pct"/>
            <w:tcBorders>
              <w:top w:val="nil"/>
              <w:left w:val="nil"/>
              <w:bottom w:val="nil"/>
              <w:right w:val="nil"/>
            </w:tcBorders>
            <w:shd w:val="clear" w:color="auto" w:fill="F2F2F2" w:themeFill="background1" w:themeFillShade="F2"/>
            <w:vAlign w:val="center"/>
            <w:hideMark/>
          </w:tcPr>
          <w:p w:rsidR="00B467FA" w:rsidRPr="00C67C91" w:rsidRDefault="00B467FA" w:rsidP="00B467FA">
            <w:pPr>
              <w:spacing w:after="0" w:line="240" w:lineRule="auto"/>
              <w:rPr>
                <w:rFonts w:ascii="Arial" w:hAnsi="Arial" w:cs="Arial"/>
                <w:b/>
                <w:bCs/>
                <w:color w:val="000000"/>
                <w:sz w:val="18"/>
                <w:szCs w:val="18"/>
              </w:rPr>
            </w:pPr>
            <w:proofErr w:type="spellStart"/>
            <w:r w:rsidRPr="00C67C91">
              <w:rPr>
                <w:rFonts w:ascii="Arial" w:hAnsi="Arial" w:cs="Arial"/>
                <w:b/>
                <w:bCs/>
                <w:color w:val="000000"/>
                <w:sz w:val="18"/>
                <w:szCs w:val="18"/>
              </w:rPr>
              <w:t>Amort</w:t>
            </w:r>
            <w:proofErr w:type="spellEnd"/>
            <w:r w:rsidRPr="00C67C91">
              <w:rPr>
                <w:rFonts w:ascii="Arial" w:hAnsi="Arial" w:cs="Arial"/>
                <w:b/>
                <w:bCs/>
                <w:color w:val="000000"/>
                <w:sz w:val="18"/>
                <w:szCs w:val="18"/>
              </w:rPr>
              <w:t>. Acumulada:</w:t>
            </w:r>
          </w:p>
        </w:tc>
        <w:tc>
          <w:tcPr>
            <w:tcW w:w="947" w:type="pct"/>
            <w:tcBorders>
              <w:top w:val="nil"/>
              <w:left w:val="nil"/>
              <w:bottom w:val="nil"/>
              <w:right w:val="nil"/>
            </w:tcBorders>
            <w:shd w:val="clear" w:color="auto" w:fill="F2F2F2" w:themeFill="background1" w:themeFillShade="F2"/>
            <w:vAlign w:val="center"/>
          </w:tcPr>
          <w:p w:rsidR="00B467FA" w:rsidRPr="00C67C91" w:rsidRDefault="00B467FA" w:rsidP="00B467FA">
            <w:pPr>
              <w:spacing w:after="0" w:line="240" w:lineRule="auto"/>
              <w:jc w:val="right"/>
              <w:rPr>
                <w:rFonts w:ascii="Arial" w:hAnsi="Arial" w:cs="Arial"/>
                <w:b/>
                <w:bCs/>
                <w:color w:val="000000"/>
                <w:sz w:val="18"/>
                <w:szCs w:val="18"/>
              </w:rPr>
            </w:pPr>
          </w:p>
        </w:tc>
        <w:tc>
          <w:tcPr>
            <w:tcW w:w="738" w:type="pct"/>
            <w:tcBorders>
              <w:top w:val="nil"/>
              <w:left w:val="nil"/>
              <w:bottom w:val="nil"/>
              <w:right w:val="nil"/>
            </w:tcBorders>
            <w:shd w:val="clear" w:color="auto" w:fill="F2F2F2" w:themeFill="background1" w:themeFillShade="F2"/>
            <w:vAlign w:val="center"/>
          </w:tcPr>
          <w:p w:rsidR="00B467FA" w:rsidRPr="00C67C91" w:rsidRDefault="00B467FA" w:rsidP="00B467FA">
            <w:pPr>
              <w:spacing w:after="0" w:line="240" w:lineRule="auto"/>
              <w:jc w:val="right"/>
              <w:rPr>
                <w:rFonts w:ascii="Arial" w:hAnsi="Arial" w:cs="Arial"/>
                <w:b/>
                <w:bCs/>
                <w:color w:val="000000"/>
                <w:sz w:val="18"/>
                <w:szCs w:val="18"/>
              </w:rPr>
            </w:pPr>
          </w:p>
        </w:tc>
        <w:tc>
          <w:tcPr>
            <w:tcW w:w="659" w:type="pct"/>
            <w:tcBorders>
              <w:top w:val="nil"/>
              <w:left w:val="nil"/>
              <w:bottom w:val="nil"/>
              <w:right w:val="nil"/>
            </w:tcBorders>
            <w:shd w:val="clear" w:color="auto" w:fill="F2F2F2" w:themeFill="background1" w:themeFillShade="F2"/>
            <w:vAlign w:val="center"/>
          </w:tcPr>
          <w:p w:rsidR="00B467FA" w:rsidRPr="00C67C91" w:rsidRDefault="00B467FA" w:rsidP="00B467FA">
            <w:pPr>
              <w:spacing w:after="0" w:line="240" w:lineRule="auto"/>
              <w:jc w:val="right"/>
              <w:rPr>
                <w:rFonts w:ascii="Arial" w:hAnsi="Arial" w:cs="Arial"/>
                <w:b/>
                <w:bCs/>
                <w:color w:val="000000"/>
                <w:sz w:val="18"/>
                <w:szCs w:val="18"/>
              </w:rPr>
            </w:pPr>
          </w:p>
        </w:tc>
        <w:tc>
          <w:tcPr>
            <w:tcW w:w="843" w:type="pct"/>
            <w:tcBorders>
              <w:top w:val="nil"/>
              <w:left w:val="nil"/>
              <w:bottom w:val="nil"/>
              <w:right w:val="nil"/>
            </w:tcBorders>
            <w:shd w:val="clear" w:color="auto" w:fill="F2F2F2" w:themeFill="background1" w:themeFillShade="F2"/>
            <w:vAlign w:val="center"/>
          </w:tcPr>
          <w:p w:rsidR="00B467FA" w:rsidRPr="00C67C91" w:rsidRDefault="00B467FA" w:rsidP="00B467FA">
            <w:pPr>
              <w:spacing w:after="0" w:line="240" w:lineRule="auto"/>
              <w:jc w:val="right"/>
              <w:rPr>
                <w:rFonts w:ascii="Arial" w:hAnsi="Arial" w:cs="Arial"/>
                <w:b/>
                <w:bCs/>
                <w:color w:val="000000"/>
                <w:sz w:val="18"/>
                <w:szCs w:val="18"/>
              </w:rPr>
            </w:pPr>
          </w:p>
        </w:tc>
      </w:tr>
      <w:tr w:rsidR="00B467FA" w:rsidRPr="00C67C91" w:rsidTr="00B467FA">
        <w:trPr>
          <w:trHeight w:val="282"/>
        </w:trPr>
        <w:tc>
          <w:tcPr>
            <w:tcW w:w="1813" w:type="pct"/>
            <w:tcBorders>
              <w:top w:val="nil"/>
              <w:left w:val="nil"/>
              <w:bottom w:val="nil"/>
              <w:right w:val="nil"/>
            </w:tcBorders>
            <w:shd w:val="clear" w:color="000000" w:fill="FFFFFF"/>
            <w:noWrap/>
            <w:vAlign w:val="center"/>
            <w:hideMark/>
          </w:tcPr>
          <w:p w:rsidR="00B467FA" w:rsidRPr="00C67C91" w:rsidRDefault="00B467FA" w:rsidP="00B467FA">
            <w:pPr>
              <w:spacing w:after="0" w:line="240" w:lineRule="auto"/>
              <w:rPr>
                <w:rFonts w:ascii="Arial" w:hAnsi="Arial" w:cs="Arial"/>
                <w:color w:val="000000"/>
                <w:sz w:val="18"/>
                <w:szCs w:val="18"/>
              </w:rPr>
            </w:pPr>
            <w:proofErr w:type="spellStart"/>
            <w:r w:rsidRPr="00C67C91">
              <w:rPr>
                <w:rFonts w:ascii="Arial" w:hAnsi="Arial" w:cs="Arial"/>
                <w:color w:val="000000"/>
                <w:sz w:val="18"/>
                <w:szCs w:val="18"/>
              </w:rPr>
              <w:t>Instal</w:t>
            </w:r>
            <w:proofErr w:type="spellEnd"/>
            <w:r w:rsidRPr="00C67C91">
              <w:rPr>
                <w:rFonts w:ascii="Arial" w:hAnsi="Arial" w:cs="Arial"/>
                <w:color w:val="000000"/>
                <w:sz w:val="18"/>
                <w:szCs w:val="18"/>
              </w:rPr>
              <w:t>. técnicas</w:t>
            </w:r>
          </w:p>
        </w:tc>
        <w:tc>
          <w:tcPr>
            <w:tcW w:w="947" w:type="pct"/>
            <w:tcBorders>
              <w:top w:val="nil"/>
              <w:left w:val="nil"/>
              <w:bottom w:val="nil"/>
              <w:right w:val="nil"/>
            </w:tcBorders>
            <w:vAlign w:val="center"/>
            <w:hideMark/>
          </w:tcPr>
          <w:p w:rsidR="00B467FA" w:rsidRPr="00C67C91" w:rsidRDefault="00B467FA" w:rsidP="00B467FA">
            <w:pPr>
              <w:spacing w:after="0" w:line="240" w:lineRule="auto"/>
              <w:jc w:val="right"/>
              <w:rPr>
                <w:rFonts w:ascii="Arial" w:hAnsi="Arial" w:cs="Arial"/>
                <w:color w:val="000000"/>
                <w:sz w:val="18"/>
                <w:szCs w:val="18"/>
              </w:rPr>
            </w:pPr>
            <w:r w:rsidRPr="00C67C91">
              <w:rPr>
                <w:rFonts w:ascii="Arial" w:hAnsi="Arial" w:cs="Arial"/>
                <w:color w:val="000000"/>
                <w:sz w:val="18"/>
                <w:szCs w:val="18"/>
              </w:rPr>
              <w:t>-2.633.675,09</w:t>
            </w:r>
          </w:p>
        </w:tc>
        <w:tc>
          <w:tcPr>
            <w:tcW w:w="738" w:type="pct"/>
            <w:tcBorders>
              <w:top w:val="nil"/>
              <w:left w:val="nil"/>
              <w:bottom w:val="nil"/>
              <w:right w:val="nil"/>
            </w:tcBorders>
            <w:vAlign w:val="center"/>
            <w:hideMark/>
          </w:tcPr>
          <w:p w:rsidR="00B467FA" w:rsidRPr="00C67C91" w:rsidRDefault="00B467FA" w:rsidP="00B467FA">
            <w:pPr>
              <w:spacing w:after="0" w:line="240" w:lineRule="auto"/>
              <w:jc w:val="right"/>
              <w:rPr>
                <w:rFonts w:ascii="Arial" w:hAnsi="Arial" w:cs="Arial"/>
                <w:color w:val="000000"/>
                <w:sz w:val="18"/>
                <w:szCs w:val="18"/>
              </w:rPr>
            </w:pPr>
            <w:r w:rsidRPr="00C67C91">
              <w:rPr>
                <w:rFonts w:ascii="Arial" w:hAnsi="Arial" w:cs="Arial"/>
                <w:color w:val="000000"/>
                <w:sz w:val="18"/>
                <w:szCs w:val="18"/>
              </w:rPr>
              <w:t>-835.350,72</w:t>
            </w:r>
          </w:p>
        </w:tc>
        <w:tc>
          <w:tcPr>
            <w:tcW w:w="659" w:type="pct"/>
            <w:tcBorders>
              <w:top w:val="nil"/>
              <w:left w:val="nil"/>
              <w:bottom w:val="nil"/>
              <w:right w:val="nil"/>
            </w:tcBorders>
            <w:vAlign w:val="center"/>
            <w:hideMark/>
          </w:tcPr>
          <w:p w:rsidR="00B467FA" w:rsidRPr="00C67C91" w:rsidRDefault="00B467FA" w:rsidP="00B467FA">
            <w:pPr>
              <w:spacing w:after="0" w:line="240" w:lineRule="auto"/>
              <w:jc w:val="right"/>
              <w:rPr>
                <w:rFonts w:ascii="Arial" w:hAnsi="Arial" w:cs="Arial"/>
                <w:color w:val="000000"/>
                <w:sz w:val="18"/>
                <w:szCs w:val="18"/>
              </w:rPr>
            </w:pPr>
            <w:r w:rsidRPr="00C67C91">
              <w:rPr>
                <w:rFonts w:ascii="Arial" w:hAnsi="Arial" w:cs="Arial"/>
                <w:color w:val="000000"/>
                <w:sz w:val="18"/>
                <w:szCs w:val="18"/>
              </w:rPr>
              <w:t>-</w:t>
            </w:r>
          </w:p>
        </w:tc>
        <w:tc>
          <w:tcPr>
            <w:tcW w:w="843" w:type="pct"/>
            <w:tcBorders>
              <w:top w:val="nil"/>
              <w:left w:val="nil"/>
              <w:bottom w:val="nil"/>
              <w:right w:val="nil"/>
            </w:tcBorders>
            <w:vAlign w:val="center"/>
            <w:hideMark/>
          </w:tcPr>
          <w:p w:rsidR="00B467FA" w:rsidRPr="00C67C91" w:rsidRDefault="00B467FA" w:rsidP="00B467FA">
            <w:pPr>
              <w:spacing w:after="0" w:line="240" w:lineRule="auto"/>
              <w:jc w:val="right"/>
              <w:rPr>
                <w:rFonts w:ascii="Arial" w:hAnsi="Arial" w:cs="Arial"/>
                <w:color w:val="000000"/>
                <w:sz w:val="18"/>
                <w:szCs w:val="18"/>
              </w:rPr>
            </w:pPr>
            <w:r w:rsidRPr="00C67C91">
              <w:rPr>
                <w:rFonts w:ascii="Arial" w:hAnsi="Arial" w:cs="Arial"/>
                <w:color w:val="000000"/>
                <w:sz w:val="18"/>
                <w:szCs w:val="18"/>
              </w:rPr>
              <w:t>-3.469.025,81</w:t>
            </w:r>
          </w:p>
        </w:tc>
      </w:tr>
      <w:tr w:rsidR="00B467FA" w:rsidRPr="00C67C91" w:rsidTr="00B467FA">
        <w:trPr>
          <w:trHeight w:val="282"/>
        </w:trPr>
        <w:tc>
          <w:tcPr>
            <w:tcW w:w="1813" w:type="pct"/>
            <w:tcBorders>
              <w:top w:val="nil"/>
              <w:left w:val="nil"/>
              <w:bottom w:val="nil"/>
              <w:right w:val="nil"/>
            </w:tcBorders>
            <w:vAlign w:val="center"/>
            <w:hideMark/>
          </w:tcPr>
          <w:p w:rsidR="00B467FA" w:rsidRPr="00C67C91" w:rsidRDefault="00B467FA" w:rsidP="00B467FA">
            <w:pPr>
              <w:spacing w:after="0" w:line="240" w:lineRule="auto"/>
              <w:rPr>
                <w:rFonts w:ascii="Arial" w:hAnsi="Arial" w:cs="Arial"/>
                <w:b/>
                <w:bCs/>
                <w:color w:val="000000"/>
                <w:sz w:val="18"/>
                <w:szCs w:val="18"/>
              </w:rPr>
            </w:pPr>
            <w:r>
              <w:rPr>
                <w:rFonts w:ascii="Arial" w:hAnsi="Arial" w:cs="Arial"/>
                <w:b/>
                <w:bCs/>
                <w:color w:val="000000"/>
                <w:sz w:val="18"/>
                <w:szCs w:val="18"/>
              </w:rPr>
              <w:t xml:space="preserve">Total </w:t>
            </w:r>
            <w:proofErr w:type="spellStart"/>
            <w:r>
              <w:rPr>
                <w:rFonts w:ascii="Arial" w:hAnsi="Arial" w:cs="Arial"/>
                <w:b/>
                <w:bCs/>
                <w:color w:val="000000"/>
                <w:sz w:val="18"/>
                <w:szCs w:val="18"/>
              </w:rPr>
              <w:t>amort</w:t>
            </w:r>
            <w:proofErr w:type="spellEnd"/>
            <w:r>
              <w:rPr>
                <w:rFonts w:ascii="Arial" w:hAnsi="Arial" w:cs="Arial"/>
                <w:b/>
                <w:bCs/>
                <w:color w:val="000000"/>
                <w:sz w:val="18"/>
                <w:szCs w:val="18"/>
              </w:rPr>
              <w:t>. acumulada</w:t>
            </w:r>
          </w:p>
        </w:tc>
        <w:tc>
          <w:tcPr>
            <w:tcW w:w="947" w:type="pct"/>
            <w:tcBorders>
              <w:top w:val="nil"/>
              <w:left w:val="nil"/>
              <w:bottom w:val="nil"/>
              <w:right w:val="nil"/>
            </w:tcBorders>
            <w:vAlign w:val="center"/>
          </w:tcPr>
          <w:p w:rsidR="00B467FA" w:rsidRPr="00C67C91" w:rsidRDefault="00B467FA" w:rsidP="00B467FA">
            <w:pPr>
              <w:spacing w:after="0" w:line="240" w:lineRule="auto"/>
              <w:jc w:val="right"/>
              <w:rPr>
                <w:rFonts w:ascii="Arial" w:hAnsi="Arial" w:cs="Arial"/>
                <w:b/>
                <w:color w:val="000000"/>
                <w:sz w:val="18"/>
                <w:szCs w:val="18"/>
              </w:rPr>
            </w:pPr>
            <w:r w:rsidRPr="00C67C91">
              <w:rPr>
                <w:rFonts w:ascii="Arial" w:hAnsi="Arial" w:cs="Arial"/>
                <w:b/>
                <w:color w:val="000000"/>
                <w:sz w:val="18"/>
                <w:szCs w:val="18"/>
              </w:rPr>
              <w:t>-2.633.675,09</w:t>
            </w:r>
          </w:p>
        </w:tc>
        <w:tc>
          <w:tcPr>
            <w:tcW w:w="738" w:type="pct"/>
            <w:tcBorders>
              <w:top w:val="nil"/>
              <w:left w:val="nil"/>
              <w:bottom w:val="nil"/>
              <w:right w:val="nil"/>
            </w:tcBorders>
            <w:vAlign w:val="center"/>
          </w:tcPr>
          <w:p w:rsidR="00B467FA" w:rsidRPr="00C67C91" w:rsidRDefault="00B467FA" w:rsidP="00B467FA">
            <w:pPr>
              <w:spacing w:after="0" w:line="240" w:lineRule="auto"/>
              <w:jc w:val="right"/>
              <w:rPr>
                <w:rFonts w:ascii="Arial" w:hAnsi="Arial" w:cs="Arial"/>
                <w:b/>
                <w:color w:val="000000"/>
                <w:sz w:val="18"/>
                <w:szCs w:val="18"/>
              </w:rPr>
            </w:pPr>
            <w:r w:rsidRPr="00C67C91">
              <w:rPr>
                <w:rFonts w:ascii="Arial" w:hAnsi="Arial" w:cs="Arial"/>
                <w:b/>
                <w:color w:val="000000"/>
                <w:sz w:val="18"/>
                <w:szCs w:val="18"/>
              </w:rPr>
              <w:t>-835.350,72</w:t>
            </w:r>
          </w:p>
        </w:tc>
        <w:tc>
          <w:tcPr>
            <w:tcW w:w="659" w:type="pct"/>
            <w:tcBorders>
              <w:top w:val="nil"/>
              <w:left w:val="nil"/>
              <w:bottom w:val="nil"/>
              <w:right w:val="nil"/>
            </w:tcBorders>
            <w:vAlign w:val="center"/>
          </w:tcPr>
          <w:p w:rsidR="00B467FA" w:rsidRPr="00C67C91" w:rsidRDefault="00B467FA" w:rsidP="00B467FA">
            <w:pPr>
              <w:spacing w:after="0" w:line="240" w:lineRule="auto"/>
              <w:jc w:val="right"/>
              <w:rPr>
                <w:rFonts w:ascii="Arial" w:hAnsi="Arial" w:cs="Arial"/>
                <w:b/>
                <w:color w:val="000000"/>
                <w:sz w:val="18"/>
                <w:szCs w:val="18"/>
              </w:rPr>
            </w:pPr>
            <w:r w:rsidRPr="00C67C91">
              <w:rPr>
                <w:rFonts w:ascii="Arial" w:hAnsi="Arial" w:cs="Arial"/>
                <w:b/>
                <w:color w:val="000000"/>
                <w:sz w:val="18"/>
                <w:szCs w:val="18"/>
              </w:rPr>
              <w:t>-</w:t>
            </w:r>
          </w:p>
        </w:tc>
        <w:tc>
          <w:tcPr>
            <w:tcW w:w="843" w:type="pct"/>
            <w:tcBorders>
              <w:top w:val="nil"/>
              <w:left w:val="nil"/>
              <w:bottom w:val="nil"/>
              <w:right w:val="nil"/>
            </w:tcBorders>
            <w:vAlign w:val="center"/>
          </w:tcPr>
          <w:p w:rsidR="00B467FA" w:rsidRPr="00C67C91" w:rsidRDefault="00B467FA" w:rsidP="00B467FA">
            <w:pPr>
              <w:spacing w:after="0" w:line="240" w:lineRule="auto"/>
              <w:jc w:val="right"/>
              <w:rPr>
                <w:rFonts w:ascii="Arial" w:hAnsi="Arial" w:cs="Arial"/>
                <w:b/>
                <w:color w:val="000000"/>
                <w:sz w:val="18"/>
                <w:szCs w:val="18"/>
              </w:rPr>
            </w:pPr>
            <w:r w:rsidRPr="00C67C91">
              <w:rPr>
                <w:rFonts w:ascii="Arial" w:hAnsi="Arial" w:cs="Arial"/>
                <w:b/>
                <w:color w:val="000000"/>
                <w:sz w:val="18"/>
                <w:szCs w:val="18"/>
              </w:rPr>
              <w:t>-3.469.025,81</w:t>
            </w:r>
          </w:p>
        </w:tc>
      </w:tr>
      <w:tr w:rsidR="009F3580" w:rsidRPr="00C67C91" w:rsidTr="00B467FA">
        <w:trPr>
          <w:trHeight w:val="296"/>
        </w:trPr>
        <w:tc>
          <w:tcPr>
            <w:tcW w:w="1813" w:type="pct"/>
            <w:tcBorders>
              <w:top w:val="single" w:sz="4" w:space="0" w:color="auto"/>
              <w:left w:val="nil"/>
              <w:bottom w:val="single" w:sz="4" w:space="0" w:color="auto"/>
              <w:right w:val="nil"/>
            </w:tcBorders>
            <w:shd w:val="clear" w:color="000000" w:fill="F2F2F2"/>
            <w:noWrap/>
            <w:vAlign w:val="center"/>
            <w:hideMark/>
          </w:tcPr>
          <w:p w:rsidR="009F3580" w:rsidRPr="00C67C91" w:rsidRDefault="009F3580" w:rsidP="009F3580">
            <w:pPr>
              <w:spacing w:after="0" w:line="240" w:lineRule="auto"/>
              <w:rPr>
                <w:rFonts w:ascii="Arial" w:hAnsi="Arial" w:cs="Arial"/>
                <w:b/>
                <w:bCs/>
                <w:color w:val="000000"/>
                <w:sz w:val="18"/>
                <w:szCs w:val="18"/>
              </w:rPr>
            </w:pPr>
            <w:proofErr w:type="spellStart"/>
            <w:r w:rsidRPr="00C67C91">
              <w:rPr>
                <w:rFonts w:ascii="Arial" w:hAnsi="Arial" w:cs="Arial"/>
                <w:b/>
                <w:bCs/>
                <w:color w:val="000000"/>
                <w:sz w:val="18"/>
                <w:szCs w:val="18"/>
              </w:rPr>
              <w:t>Inmov</w:t>
            </w:r>
            <w:proofErr w:type="spellEnd"/>
            <w:r w:rsidRPr="00C67C91">
              <w:rPr>
                <w:rFonts w:ascii="Arial" w:hAnsi="Arial" w:cs="Arial"/>
                <w:b/>
                <w:bCs/>
                <w:color w:val="000000"/>
                <w:sz w:val="18"/>
                <w:szCs w:val="18"/>
              </w:rPr>
              <w:t>. Material, Neto</w:t>
            </w:r>
          </w:p>
        </w:tc>
        <w:tc>
          <w:tcPr>
            <w:tcW w:w="947" w:type="pct"/>
            <w:tcBorders>
              <w:top w:val="single" w:sz="4" w:space="0" w:color="auto"/>
              <w:left w:val="nil"/>
              <w:bottom w:val="single" w:sz="4" w:space="0" w:color="auto"/>
              <w:right w:val="nil"/>
            </w:tcBorders>
            <w:shd w:val="clear" w:color="000000" w:fill="F2F2F2"/>
            <w:vAlign w:val="center"/>
            <w:hideMark/>
          </w:tcPr>
          <w:p w:rsidR="009F3580" w:rsidRPr="00C67C91" w:rsidRDefault="00B251DB" w:rsidP="009F358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22.451.930,66</w:t>
            </w:r>
          </w:p>
        </w:tc>
        <w:tc>
          <w:tcPr>
            <w:tcW w:w="738" w:type="pct"/>
            <w:tcBorders>
              <w:top w:val="single" w:sz="4" w:space="0" w:color="auto"/>
              <w:left w:val="nil"/>
              <w:bottom w:val="single" w:sz="4" w:space="0" w:color="auto"/>
              <w:right w:val="nil"/>
            </w:tcBorders>
            <w:shd w:val="clear" w:color="000000" w:fill="F2F2F2"/>
            <w:vAlign w:val="center"/>
            <w:hideMark/>
          </w:tcPr>
          <w:p w:rsidR="009F3580" w:rsidRPr="00C67C91" w:rsidRDefault="009F3580" w:rsidP="009F358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 </w:t>
            </w:r>
          </w:p>
        </w:tc>
        <w:tc>
          <w:tcPr>
            <w:tcW w:w="659" w:type="pct"/>
            <w:tcBorders>
              <w:top w:val="single" w:sz="4" w:space="0" w:color="auto"/>
              <w:left w:val="nil"/>
              <w:bottom w:val="single" w:sz="4" w:space="0" w:color="auto"/>
              <w:right w:val="nil"/>
            </w:tcBorders>
            <w:shd w:val="clear" w:color="000000" w:fill="F2F2F2"/>
            <w:vAlign w:val="center"/>
            <w:hideMark/>
          </w:tcPr>
          <w:p w:rsidR="009F3580" w:rsidRPr="00C67C91" w:rsidRDefault="009F3580" w:rsidP="009F358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 </w:t>
            </w:r>
          </w:p>
        </w:tc>
        <w:tc>
          <w:tcPr>
            <w:tcW w:w="843" w:type="pct"/>
            <w:tcBorders>
              <w:top w:val="single" w:sz="4" w:space="0" w:color="auto"/>
              <w:left w:val="nil"/>
              <w:bottom w:val="single" w:sz="4" w:space="0" w:color="auto"/>
              <w:right w:val="nil"/>
            </w:tcBorders>
            <w:shd w:val="clear" w:color="000000" w:fill="F2F2F2"/>
            <w:vAlign w:val="center"/>
            <w:hideMark/>
          </w:tcPr>
          <w:p w:rsidR="009F3580" w:rsidRPr="00C67C91" w:rsidRDefault="009F3580" w:rsidP="009F358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21.761.260,49</w:t>
            </w:r>
          </w:p>
        </w:tc>
      </w:tr>
    </w:tbl>
    <w:p w:rsidR="00C67C91" w:rsidRPr="00C67C91" w:rsidRDefault="00C67C91" w:rsidP="00B467FA">
      <w:pPr>
        <w:pStyle w:val="CM25"/>
        <w:spacing w:before="120" w:after="120" w:line="260" w:lineRule="exact"/>
        <w:jc w:val="both"/>
        <w:rPr>
          <w:rFonts w:ascii="Arial" w:hAnsi="Arial" w:cs="Arial"/>
          <w:sz w:val="20"/>
          <w:szCs w:val="20"/>
        </w:rPr>
      </w:pPr>
      <w:r w:rsidRPr="00C67C91">
        <w:rPr>
          <w:rFonts w:ascii="Arial" w:hAnsi="Arial" w:cs="Arial"/>
          <w:sz w:val="20"/>
          <w:szCs w:val="20"/>
        </w:rPr>
        <w:t>A 31 de diciembre de 2020 y 2019 en el epígrafe de Instalaciones técnicas figura el coste de Instalación, puesta en marcha y equipamiento de los segmentos del ramal del cable submarino del consorcio en el Consorcio ACE (</w:t>
      </w:r>
      <w:proofErr w:type="spellStart"/>
      <w:r w:rsidRPr="00C67C91">
        <w:rPr>
          <w:rFonts w:ascii="Arial" w:hAnsi="Arial" w:cs="Arial"/>
          <w:sz w:val="20"/>
          <w:szCs w:val="20"/>
        </w:rPr>
        <w:t>African</w:t>
      </w:r>
      <w:proofErr w:type="spellEnd"/>
      <w:r w:rsidRPr="00C67C91">
        <w:rPr>
          <w:rFonts w:ascii="Arial" w:hAnsi="Arial" w:cs="Arial"/>
          <w:sz w:val="20"/>
          <w:szCs w:val="20"/>
        </w:rPr>
        <w:t xml:space="preserve"> </w:t>
      </w:r>
      <w:proofErr w:type="spellStart"/>
      <w:r w:rsidRPr="00C67C91">
        <w:rPr>
          <w:rFonts w:ascii="Arial" w:hAnsi="Arial" w:cs="Arial"/>
          <w:sz w:val="20"/>
          <w:szCs w:val="20"/>
        </w:rPr>
        <w:t>Coast</w:t>
      </w:r>
      <w:proofErr w:type="spellEnd"/>
      <w:r w:rsidRPr="00C67C91">
        <w:rPr>
          <w:rFonts w:ascii="Arial" w:hAnsi="Arial" w:cs="Arial"/>
          <w:sz w:val="20"/>
          <w:szCs w:val="20"/>
        </w:rPr>
        <w:t xml:space="preserve"> </w:t>
      </w:r>
      <w:proofErr w:type="spellStart"/>
      <w:r w:rsidRPr="00C67C91">
        <w:rPr>
          <w:rFonts w:ascii="Arial" w:hAnsi="Arial" w:cs="Arial"/>
          <w:sz w:val="20"/>
          <w:szCs w:val="20"/>
        </w:rPr>
        <w:t>to</w:t>
      </w:r>
      <w:proofErr w:type="spellEnd"/>
      <w:r w:rsidRPr="00C67C91">
        <w:rPr>
          <w:rFonts w:ascii="Arial" w:hAnsi="Arial" w:cs="Arial"/>
          <w:sz w:val="20"/>
          <w:szCs w:val="20"/>
        </w:rPr>
        <w:t xml:space="preserve"> </w:t>
      </w:r>
      <w:proofErr w:type="spellStart"/>
      <w:r w:rsidRPr="00C67C91">
        <w:rPr>
          <w:rFonts w:ascii="Arial" w:hAnsi="Arial" w:cs="Arial"/>
          <w:sz w:val="20"/>
          <w:szCs w:val="20"/>
        </w:rPr>
        <w:t>Europe</w:t>
      </w:r>
      <w:proofErr w:type="spellEnd"/>
      <w:r w:rsidRPr="00C67C91">
        <w:rPr>
          <w:rFonts w:ascii="Arial" w:hAnsi="Arial" w:cs="Arial"/>
          <w:sz w:val="20"/>
          <w:szCs w:val="20"/>
        </w:rPr>
        <w:t>) correspondiente a Canarias.</w:t>
      </w:r>
    </w:p>
    <w:p w:rsidR="00336822" w:rsidRPr="00C67C91" w:rsidRDefault="00336822" w:rsidP="00B467FA">
      <w:pPr>
        <w:pStyle w:val="CM25"/>
        <w:spacing w:before="120" w:after="120" w:line="260" w:lineRule="exact"/>
        <w:jc w:val="both"/>
        <w:rPr>
          <w:rFonts w:ascii="Arial" w:hAnsi="Arial" w:cs="Arial"/>
          <w:sz w:val="20"/>
          <w:szCs w:val="20"/>
        </w:rPr>
      </w:pPr>
      <w:r w:rsidRPr="00C67C91">
        <w:rPr>
          <w:rFonts w:ascii="Arial" w:hAnsi="Arial" w:cs="Arial"/>
          <w:sz w:val="20"/>
          <w:szCs w:val="20"/>
        </w:rPr>
        <w:t xml:space="preserve">Este proyecto se corresponde con un sistema de cable submarino, promovido por este consorcio, formado por unos 20 socios operadores de telecomunicaciones africanos, además de France Telecom, que una vez terminado </w:t>
      </w:r>
      <w:r w:rsidR="00951C2B" w:rsidRPr="00C67C91">
        <w:rPr>
          <w:rFonts w:ascii="Arial" w:hAnsi="Arial" w:cs="Arial"/>
          <w:sz w:val="20"/>
          <w:szCs w:val="20"/>
        </w:rPr>
        <w:t>recorrerá 17.000 Km, y permite</w:t>
      </w:r>
      <w:r w:rsidRPr="00C67C91">
        <w:rPr>
          <w:rFonts w:ascii="Arial" w:hAnsi="Arial" w:cs="Arial"/>
          <w:sz w:val="20"/>
          <w:szCs w:val="20"/>
        </w:rPr>
        <w:t xml:space="preserve"> la conexión de telecomunicaciones e Internet de los países de la costa occidental africana. </w:t>
      </w:r>
    </w:p>
    <w:p w:rsidR="00336822" w:rsidRPr="00C67C91" w:rsidRDefault="00336822" w:rsidP="00B467FA">
      <w:pPr>
        <w:pStyle w:val="CM25"/>
        <w:spacing w:before="120" w:after="120" w:line="260" w:lineRule="exact"/>
        <w:jc w:val="both"/>
        <w:rPr>
          <w:rFonts w:ascii="Arial" w:hAnsi="Arial" w:cs="Arial"/>
          <w:sz w:val="20"/>
          <w:szCs w:val="20"/>
        </w:rPr>
      </w:pPr>
      <w:r w:rsidRPr="00C67C91">
        <w:rPr>
          <w:rFonts w:ascii="Arial" w:hAnsi="Arial" w:cs="Arial"/>
          <w:sz w:val="20"/>
          <w:szCs w:val="20"/>
        </w:rPr>
        <w:t xml:space="preserve">Durante el ejercicio, no se han producido correcciones valorativas por deterioro de valor. </w:t>
      </w:r>
    </w:p>
    <w:p w:rsidR="00DD3FE4" w:rsidRPr="00C67C91" w:rsidRDefault="00336822" w:rsidP="00B467FA">
      <w:pPr>
        <w:pStyle w:val="CM25"/>
        <w:spacing w:before="120" w:after="120" w:line="260" w:lineRule="exact"/>
        <w:jc w:val="both"/>
        <w:rPr>
          <w:rFonts w:ascii="Arial" w:hAnsi="Arial" w:cs="Arial"/>
          <w:sz w:val="20"/>
          <w:szCs w:val="20"/>
        </w:rPr>
      </w:pPr>
      <w:r w:rsidRPr="00C67C91">
        <w:rPr>
          <w:rFonts w:ascii="Arial" w:hAnsi="Arial" w:cs="Arial"/>
          <w:sz w:val="20"/>
          <w:szCs w:val="20"/>
        </w:rPr>
        <w:t xml:space="preserve">No existen arrendamientos financieros u operaciones análogas sobre activos no corrientes. </w:t>
      </w:r>
    </w:p>
    <w:p w:rsidR="00BA7C9B" w:rsidRPr="00C67C91" w:rsidRDefault="00336822" w:rsidP="00203EFC">
      <w:pPr>
        <w:pStyle w:val="CM20"/>
        <w:spacing w:before="240" w:after="120"/>
        <w:ind w:left="284" w:hanging="284"/>
        <w:jc w:val="both"/>
        <w:rPr>
          <w:rFonts w:ascii="Arial" w:hAnsi="Arial" w:cs="Arial"/>
          <w:b/>
          <w:bCs/>
          <w:sz w:val="20"/>
          <w:szCs w:val="20"/>
        </w:rPr>
      </w:pPr>
      <w:r w:rsidRPr="00C67C91">
        <w:rPr>
          <w:rFonts w:ascii="Arial" w:hAnsi="Arial" w:cs="Arial"/>
          <w:b/>
          <w:bCs/>
          <w:sz w:val="20"/>
          <w:szCs w:val="20"/>
        </w:rPr>
        <w:t>5.</w:t>
      </w:r>
      <w:r w:rsidR="00203EFC">
        <w:rPr>
          <w:rFonts w:ascii="Arial" w:hAnsi="Arial" w:cs="Arial"/>
          <w:b/>
          <w:bCs/>
          <w:sz w:val="20"/>
          <w:szCs w:val="20"/>
        </w:rPr>
        <w:t>-</w:t>
      </w:r>
      <w:r w:rsidR="00BB30C6" w:rsidRPr="00C67C91">
        <w:rPr>
          <w:rFonts w:ascii="Arial" w:hAnsi="Arial" w:cs="Arial"/>
          <w:b/>
          <w:bCs/>
          <w:sz w:val="20"/>
          <w:szCs w:val="20"/>
        </w:rPr>
        <w:t xml:space="preserve"> </w:t>
      </w:r>
      <w:r w:rsidR="004F79FD" w:rsidRPr="00C67C91">
        <w:rPr>
          <w:rFonts w:ascii="Arial" w:hAnsi="Arial" w:cs="Arial"/>
          <w:b/>
          <w:bCs/>
          <w:sz w:val="20"/>
          <w:szCs w:val="20"/>
        </w:rPr>
        <w:t>ACTI</w:t>
      </w:r>
      <w:r w:rsidR="002767D9" w:rsidRPr="00C67C91">
        <w:rPr>
          <w:rFonts w:ascii="Arial" w:hAnsi="Arial" w:cs="Arial"/>
          <w:b/>
          <w:bCs/>
          <w:sz w:val="20"/>
          <w:szCs w:val="20"/>
        </w:rPr>
        <w:t>V</w:t>
      </w:r>
      <w:r w:rsidR="004F79FD" w:rsidRPr="00C67C91">
        <w:rPr>
          <w:rFonts w:ascii="Arial" w:hAnsi="Arial" w:cs="Arial"/>
          <w:b/>
          <w:bCs/>
          <w:sz w:val="20"/>
          <w:szCs w:val="20"/>
        </w:rPr>
        <w:t>OS FINANCIEROS</w:t>
      </w:r>
    </w:p>
    <w:p w:rsidR="00C67C91" w:rsidRPr="00C67C91" w:rsidRDefault="00C67C91" w:rsidP="00B467FA">
      <w:pPr>
        <w:pStyle w:val="CM20"/>
        <w:spacing w:before="120" w:after="120" w:line="260" w:lineRule="exact"/>
        <w:jc w:val="both"/>
        <w:rPr>
          <w:rFonts w:ascii="Arial" w:hAnsi="Arial" w:cs="Arial"/>
          <w:b/>
          <w:sz w:val="20"/>
          <w:szCs w:val="20"/>
        </w:rPr>
      </w:pPr>
      <w:r w:rsidRPr="00C67C91">
        <w:rPr>
          <w:rFonts w:ascii="Arial" w:hAnsi="Arial" w:cs="Arial"/>
          <w:b/>
          <w:sz w:val="20"/>
          <w:szCs w:val="20"/>
        </w:rPr>
        <w:t xml:space="preserve">a) Activos financieros no corrientes </w:t>
      </w:r>
    </w:p>
    <w:p w:rsidR="00C67C91" w:rsidRPr="00C67C91" w:rsidRDefault="00C67C91" w:rsidP="00B467FA">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El Balance de Situación de esta Sociedad no muestra Activos Financieros a largo plazo. </w:t>
      </w:r>
    </w:p>
    <w:p w:rsidR="00C67C91" w:rsidRPr="00C67C91" w:rsidRDefault="00C67C91" w:rsidP="00B467FA">
      <w:pPr>
        <w:pStyle w:val="CM20"/>
        <w:spacing w:before="120" w:after="120" w:line="260" w:lineRule="exact"/>
        <w:jc w:val="both"/>
        <w:rPr>
          <w:rFonts w:ascii="Arial" w:hAnsi="Arial" w:cs="Arial"/>
          <w:b/>
          <w:sz w:val="20"/>
          <w:szCs w:val="20"/>
        </w:rPr>
      </w:pPr>
      <w:r w:rsidRPr="00C67C91">
        <w:rPr>
          <w:rFonts w:ascii="Arial" w:hAnsi="Arial" w:cs="Arial"/>
          <w:b/>
          <w:sz w:val="20"/>
          <w:szCs w:val="20"/>
        </w:rPr>
        <w:t xml:space="preserve">b) Correcciones por deterioro del valor originadas por el riesgo de crédito </w:t>
      </w:r>
    </w:p>
    <w:p w:rsidR="00C67C91" w:rsidRPr="00C67C91" w:rsidRDefault="00C67C91" w:rsidP="00B467FA">
      <w:pPr>
        <w:pStyle w:val="CM15"/>
        <w:spacing w:before="120" w:after="120" w:line="260" w:lineRule="exact"/>
        <w:jc w:val="both"/>
        <w:rPr>
          <w:rFonts w:ascii="Arial" w:hAnsi="Arial" w:cs="Arial"/>
          <w:sz w:val="20"/>
          <w:szCs w:val="20"/>
        </w:rPr>
      </w:pPr>
      <w:r w:rsidRPr="00C67C91">
        <w:rPr>
          <w:rFonts w:ascii="Arial" w:hAnsi="Arial" w:cs="Arial"/>
          <w:sz w:val="20"/>
          <w:szCs w:val="20"/>
        </w:rPr>
        <w:t xml:space="preserve">No se han registrado correcciones de valor. </w:t>
      </w:r>
    </w:p>
    <w:p w:rsidR="00C67C91" w:rsidRPr="00C67C91" w:rsidRDefault="00C67C91" w:rsidP="00B467FA">
      <w:pPr>
        <w:pStyle w:val="CM16"/>
        <w:spacing w:before="120" w:after="120" w:line="260" w:lineRule="exact"/>
        <w:ind w:left="284" w:hanging="284"/>
        <w:jc w:val="both"/>
        <w:rPr>
          <w:rFonts w:ascii="Arial" w:hAnsi="Arial" w:cs="Arial"/>
          <w:b/>
          <w:sz w:val="20"/>
          <w:szCs w:val="20"/>
        </w:rPr>
      </w:pPr>
      <w:r w:rsidRPr="00C67C91">
        <w:rPr>
          <w:rFonts w:ascii="Arial" w:hAnsi="Arial" w:cs="Arial"/>
          <w:b/>
          <w:sz w:val="20"/>
          <w:szCs w:val="20"/>
        </w:rPr>
        <w:t xml:space="preserve">c) Activos financieros designados a valor razonable con cambios en la cuenta de pérdidas y ganancias. </w:t>
      </w:r>
    </w:p>
    <w:p w:rsidR="00C67C91" w:rsidRPr="00C67C91" w:rsidRDefault="00C67C91" w:rsidP="00B467FA">
      <w:pPr>
        <w:pStyle w:val="CM16"/>
        <w:spacing w:before="120" w:after="120" w:line="260" w:lineRule="exact"/>
        <w:jc w:val="both"/>
        <w:rPr>
          <w:rFonts w:ascii="Arial" w:hAnsi="Arial" w:cs="Arial"/>
          <w:sz w:val="20"/>
          <w:szCs w:val="20"/>
        </w:rPr>
      </w:pPr>
      <w:r w:rsidRPr="00C67C91">
        <w:rPr>
          <w:rFonts w:ascii="Arial" w:hAnsi="Arial" w:cs="Arial"/>
          <w:sz w:val="20"/>
          <w:szCs w:val="20"/>
        </w:rPr>
        <w:lastRenderedPageBreak/>
        <w:t xml:space="preserve">La Sociedad no dispone de este tipo de activos. </w:t>
      </w:r>
    </w:p>
    <w:p w:rsidR="00C67C91" w:rsidRPr="00C67C91" w:rsidRDefault="00C67C91" w:rsidP="00B467FA">
      <w:pPr>
        <w:pStyle w:val="Default"/>
        <w:spacing w:before="120" w:after="120" w:line="260" w:lineRule="exact"/>
        <w:ind w:left="284" w:hanging="284"/>
        <w:jc w:val="both"/>
        <w:rPr>
          <w:rFonts w:ascii="Arial" w:hAnsi="Arial" w:cs="Arial"/>
          <w:b/>
          <w:color w:val="auto"/>
          <w:sz w:val="20"/>
          <w:szCs w:val="20"/>
        </w:rPr>
      </w:pPr>
      <w:r w:rsidRPr="00C67C91">
        <w:rPr>
          <w:rFonts w:ascii="Arial" w:hAnsi="Arial" w:cs="Arial"/>
          <w:b/>
          <w:color w:val="auto"/>
          <w:sz w:val="20"/>
          <w:szCs w:val="20"/>
        </w:rPr>
        <w:t xml:space="preserve">d) Empresas del grupo, </w:t>
      </w:r>
      <w:proofErr w:type="spellStart"/>
      <w:r w:rsidRPr="00C67C91">
        <w:rPr>
          <w:rFonts w:ascii="Arial" w:hAnsi="Arial" w:cs="Arial"/>
          <w:b/>
          <w:color w:val="auto"/>
          <w:sz w:val="20"/>
          <w:szCs w:val="20"/>
        </w:rPr>
        <w:t>multigrupo</w:t>
      </w:r>
      <w:proofErr w:type="spellEnd"/>
      <w:r w:rsidRPr="00C67C91">
        <w:rPr>
          <w:rFonts w:ascii="Arial" w:hAnsi="Arial" w:cs="Arial"/>
          <w:b/>
          <w:color w:val="auto"/>
          <w:sz w:val="20"/>
          <w:szCs w:val="20"/>
        </w:rPr>
        <w:t xml:space="preserve"> y asociadas</w:t>
      </w:r>
    </w:p>
    <w:p w:rsidR="00C67C91" w:rsidRPr="00C67C91" w:rsidRDefault="00C67C91" w:rsidP="00B467FA">
      <w:pPr>
        <w:pStyle w:val="Default"/>
        <w:spacing w:before="120" w:after="120" w:line="260" w:lineRule="exact"/>
        <w:jc w:val="both"/>
        <w:rPr>
          <w:rFonts w:ascii="Arial" w:hAnsi="Arial" w:cs="Arial"/>
          <w:color w:val="auto"/>
          <w:sz w:val="20"/>
          <w:szCs w:val="20"/>
        </w:rPr>
      </w:pPr>
      <w:r w:rsidRPr="00C67C91">
        <w:rPr>
          <w:rFonts w:ascii="Arial" w:hAnsi="Arial" w:cs="Arial"/>
          <w:color w:val="auto"/>
          <w:sz w:val="20"/>
          <w:szCs w:val="20"/>
        </w:rPr>
        <w:t xml:space="preserve">La Sociedad no tiene acciones o participaciones de entidades que puedan ser consideradas como empresas del grupo, </w:t>
      </w:r>
      <w:proofErr w:type="spellStart"/>
      <w:r w:rsidRPr="00C67C91">
        <w:rPr>
          <w:rFonts w:ascii="Arial" w:hAnsi="Arial" w:cs="Arial"/>
          <w:color w:val="auto"/>
          <w:sz w:val="20"/>
          <w:szCs w:val="20"/>
        </w:rPr>
        <w:t>multigrupo</w:t>
      </w:r>
      <w:proofErr w:type="spellEnd"/>
      <w:r w:rsidRPr="00C67C91">
        <w:rPr>
          <w:rFonts w:ascii="Arial" w:hAnsi="Arial" w:cs="Arial"/>
          <w:color w:val="auto"/>
          <w:sz w:val="20"/>
          <w:szCs w:val="20"/>
        </w:rPr>
        <w:t xml:space="preserve">, asociadas u otras. </w:t>
      </w:r>
    </w:p>
    <w:p w:rsidR="00336822" w:rsidRPr="00C67C91" w:rsidRDefault="00C67C91" w:rsidP="00B467FA">
      <w:pPr>
        <w:pStyle w:val="CM16"/>
        <w:spacing w:before="120" w:after="120" w:line="260" w:lineRule="exact"/>
        <w:jc w:val="both"/>
        <w:rPr>
          <w:rFonts w:ascii="Arial" w:hAnsi="Arial" w:cs="Arial"/>
          <w:b/>
          <w:sz w:val="20"/>
          <w:szCs w:val="20"/>
        </w:rPr>
      </w:pPr>
      <w:r>
        <w:rPr>
          <w:rFonts w:ascii="Arial" w:hAnsi="Arial" w:cs="Arial"/>
          <w:b/>
          <w:sz w:val="20"/>
          <w:szCs w:val="20"/>
        </w:rPr>
        <w:t>e</w:t>
      </w:r>
      <w:r w:rsidRPr="00C67C91">
        <w:rPr>
          <w:rFonts w:ascii="Arial" w:hAnsi="Arial" w:cs="Arial"/>
          <w:b/>
          <w:sz w:val="20"/>
          <w:szCs w:val="20"/>
        </w:rPr>
        <w:t xml:space="preserve">) </w:t>
      </w:r>
      <w:r w:rsidR="00336822" w:rsidRPr="00C67C91">
        <w:rPr>
          <w:rFonts w:ascii="Arial" w:hAnsi="Arial" w:cs="Arial"/>
          <w:b/>
          <w:sz w:val="20"/>
          <w:szCs w:val="20"/>
        </w:rPr>
        <w:t xml:space="preserve">Activos financieros corrientes </w:t>
      </w:r>
    </w:p>
    <w:p w:rsidR="00BB30C6" w:rsidRPr="00C67C91" w:rsidRDefault="00951C2B" w:rsidP="00B467FA">
      <w:pPr>
        <w:widowControl w:val="0"/>
        <w:autoSpaceDE w:val="0"/>
        <w:autoSpaceDN w:val="0"/>
        <w:adjustRightInd w:val="0"/>
        <w:spacing w:before="120" w:after="120" w:line="260" w:lineRule="exact"/>
        <w:jc w:val="both"/>
        <w:rPr>
          <w:rFonts w:ascii="Arial" w:hAnsi="Arial" w:cs="Arial"/>
          <w:sz w:val="20"/>
          <w:szCs w:val="20"/>
        </w:rPr>
      </w:pPr>
      <w:r w:rsidRPr="00C67C91">
        <w:rPr>
          <w:rFonts w:ascii="Arial" w:hAnsi="Arial" w:cs="Arial"/>
          <w:sz w:val="20"/>
          <w:szCs w:val="20"/>
        </w:rPr>
        <w:t xml:space="preserve">El detalle de activos financieros a corto plazo a 31 de diciembre de </w:t>
      </w:r>
      <w:r w:rsidR="00FA495B" w:rsidRPr="00C67C91">
        <w:rPr>
          <w:rFonts w:ascii="Arial" w:hAnsi="Arial" w:cs="Arial"/>
          <w:sz w:val="20"/>
          <w:szCs w:val="20"/>
        </w:rPr>
        <w:t>2020</w:t>
      </w:r>
      <w:r w:rsidRPr="00C67C91">
        <w:rPr>
          <w:rFonts w:ascii="Arial" w:hAnsi="Arial" w:cs="Arial"/>
          <w:sz w:val="20"/>
          <w:szCs w:val="20"/>
        </w:rPr>
        <w:t xml:space="preserve"> y 201</w:t>
      </w:r>
      <w:r w:rsidR="00FA495B" w:rsidRPr="00C67C91">
        <w:rPr>
          <w:rFonts w:ascii="Arial" w:hAnsi="Arial" w:cs="Arial"/>
          <w:sz w:val="20"/>
          <w:szCs w:val="20"/>
        </w:rPr>
        <w:t>9</w:t>
      </w:r>
      <w:r w:rsidRPr="00C67C91">
        <w:rPr>
          <w:rFonts w:ascii="Arial" w:hAnsi="Arial" w:cs="Arial"/>
          <w:sz w:val="20"/>
          <w:szCs w:val="20"/>
        </w:rPr>
        <w:t xml:space="preserve">, salvo inversiones en el patrimonio de empresas del grupo, </w:t>
      </w:r>
      <w:proofErr w:type="spellStart"/>
      <w:r w:rsidRPr="00C67C91">
        <w:rPr>
          <w:rFonts w:ascii="Arial" w:hAnsi="Arial" w:cs="Arial"/>
          <w:sz w:val="20"/>
          <w:szCs w:val="20"/>
        </w:rPr>
        <w:t>multigrupo</w:t>
      </w:r>
      <w:proofErr w:type="spellEnd"/>
      <w:r w:rsidRPr="00C67C91">
        <w:rPr>
          <w:rFonts w:ascii="Arial" w:hAnsi="Arial" w:cs="Arial"/>
          <w:sz w:val="20"/>
          <w:szCs w:val="20"/>
        </w:rPr>
        <w:t xml:space="preserve"> y asociadas, es el siguiente, en euros:</w:t>
      </w:r>
    </w:p>
    <w:tbl>
      <w:tblPr>
        <w:tblpPr w:leftFromText="141" w:rightFromText="141" w:vertAnchor="text" w:horzAnchor="margin" w:tblpXSpec="center" w:tblpY="22"/>
        <w:tblW w:w="5000" w:type="pct"/>
        <w:jc w:val="center"/>
        <w:tblCellMar>
          <w:left w:w="70" w:type="dxa"/>
          <w:right w:w="70" w:type="dxa"/>
        </w:tblCellMar>
        <w:tblLook w:val="04A0"/>
      </w:tblPr>
      <w:tblGrid>
        <w:gridCol w:w="5242"/>
        <w:gridCol w:w="1601"/>
        <w:gridCol w:w="1802"/>
      </w:tblGrid>
      <w:tr w:rsidR="00BA7C9B" w:rsidRPr="00C67C91" w:rsidTr="00B467FA">
        <w:trPr>
          <w:trHeight w:val="283"/>
          <w:jc w:val="center"/>
        </w:trPr>
        <w:tc>
          <w:tcPr>
            <w:tcW w:w="3032" w:type="pct"/>
            <w:tcBorders>
              <w:left w:val="nil"/>
              <w:bottom w:val="single" w:sz="4" w:space="0" w:color="auto"/>
              <w:right w:val="nil"/>
            </w:tcBorders>
            <w:shd w:val="clear" w:color="000000" w:fill="D9D9D9"/>
            <w:noWrap/>
            <w:vAlign w:val="bottom"/>
            <w:hideMark/>
          </w:tcPr>
          <w:p w:rsidR="00BA7C9B" w:rsidRPr="00C67C91" w:rsidRDefault="00BA7C9B" w:rsidP="00C67C91">
            <w:pPr>
              <w:spacing w:after="0" w:line="240" w:lineRule="auto"/>
              <w:rPr>
                <w:rFonts w:ascii="Arial" w:hAnsi="Arial" w:cs="Arial"/>
                <w:b/>
                <w:bCs/>
                <w:color w:val="000000"/>
                <w:sz w:val="18"/>
                <w:szCs w:val="18"/>
              </w:rPr>
            </w:pPr>
            <w:r w:rsidRPr="00C67C91">
              <w:rPr>
                <w:rFonts w:ascii="Arial" w:hAnsi="Arial" w:cs="Arial"/>
                <w:b/>
                <w:bCs/>
                <w:color w:val="000000"/>
                <w:sz w:val="18"/>
                <w:szCs w:val="18"/>
              </w:rPr>
              <w:t>Créditos, derivados y otros a corto plazo</w:t>
            </w:r>
          </w:p>
        </w:tc>
        <w:tc>
          <w:tcPr>
            <w:tcW w:w="926" w:type="pct"/>
            <w:tcBorders>
              <w:left w:val="nil"/>
              <w:bottom w:val="single" w:sz="4" w:space="0" w:color="auto"/>
              <w:right w:val="nil"/>
            </w:tcBorders>
            <w:shd w:val="clear" w:color="000000" w:fill="D9D9D9"/>
            <w:noWrap/>
            <w:vAlign w:val="bottom"/>
            <w:hideMark/>
          </w:tcPr>
          <w:p w:rsidR="00BA7C9B" w:rsidRPr="00C67C91" w:rsidRDefault="00BA7C9B" w:rsidP="00C67C91">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31/12/2020</w:t>
            </w:r>
          </w:p>
        </w:tc>
        <w:tc>
          <w:tcPr>
            <w:tcW w:w="1042" w:type="pct"/>
            <w:tcBorders>
              <w:left w:val="nil"/>
              <w:bottom w:val="single" w:sz="4" w:space="0" w:color="auto"/>
              <w:right w:val="nil"/>
            </w:tcBorders>
            <w:shd w:val="clear" w:color="000000" w:fill="D9D9D9"/>
            <w:noWrap/>
            <w:vAlign w:val="bottom"/>
            <w:hideMark/>
          </w:tcPr>
          <w:p w:rsidR="00BA7C9B" w:rsidRPr="00C67C91" w:rsidRDefault="00BA7C9B" w:rsidP="00C67C91">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31/12/2019</w:t>
            </w:r>
          </w:p>
        </w:tc>
      </w:tr>
      <w:tr w:rsidR="00BA7C9B" w:rsidRPr="00C67C91" w:rsidTr="00B467FA">
        <w:trPr>
          <w:trHeight w:val="283"/>
          <w:jc w:val="center"/>
        </w:trPr>
        <w:tc>
          <w:tcPr>
            <w:tcW w:w="3032" w:type="pct"/>
            <w:tcBorders>
              <w:top w:val="single" w:sz="4" w:space="0" w:color="auto"/>
              <w:left w:val="nil"/>
              <w:right w:val="nil"/>
            </w:tcBorders>
            <w:noWrap/>
            <w:vAlign w:val="center"/>
            <w:hideMark/>
          </w:tcPr>
          <w:p w:rsidR="00BA7C9B" w:rsidRPr="00C67C91" w:rsidRDefault="00BA7C9B" w:rsidP="00C67C91">
            <w:pPr>
              <w:spacing w:after="0" w:line="240" w:lineRule="auto"/>
              <w:rPr>
                <w:rFonts w:ascii="Arial" w:hAnsi="Arial" w:cs="Arial"/>
                <w:color w:val="000000"/>
                <w:sz w:val="18"/>
                <w:szCs w:val="18"/>
              </w:rPr>
            </w:pPr>
            <w:r w:rsidRPr="00C67C91">
              <w:rPr>
                <w:rFonts w:ascii="Arial" w:hAnsi="Arial" w:cs="Arial"/>
                <w:color w:val="000000"/>
                <w:sz w:val="18"/>
                <w:szCs w:val="18"/>
              </w:rPr>
              <w:t xml:space="preserve">Activos valor razonable con cambios en </w:t>
            </w:r>
            <w:proofErr w:type="spellStart"/>
            <w:r w:rsidRPr="00C67C91">
              <w:rPr>
                <w:rFonts w:ascii="Arial" w:hAnsi="Arial" w:cs="Arial"/>
                <w:color w:val="000000"/>
                <w:sz w:val="18"/>
                <w:szCs w:val="18"/>
              </w:rPr>
              <w:t>p</w:t>
            </w:r>
            <w:r w:rsidR="00C67C91">
              <w:rPr>
                <w:rFonts w:ascii="Arial" w:hAnsi="Arial" w:cs="Arial"/>
                <w:color w:val="000000"/>
                <w:sz w:val="18"/>
                <w:szCs w:val="18"/>
              </w:rPr>
              <w:t>yg</w:t>
            </w:r>
            <w:proofErr w:type="spellEnd"/>
          </w:p>
        </w:tc>
        <w:tc>
          <w:tcPr>
            <w:tcW w:w="926" w:type="pct"/>
            <w:tcBorders>
              <w:top w:val="single" w:sz="4" w:space="0" w:color="auto"/>
              <w:left w:val="nil"/>
              <w:right w:val="nil"/>
            </w:tcBorders>
            <w:noWrap/>
            <w:vAlign w:val="center"/>
            <w:hideMark/>
          </w:tcPr>
          <w:p w:rsidR="00BA7C9B" w:rsidRPr="00C67C91" w:rsidRDefault="00BA7C9B" w:rsidP="00C67C91">
            <w:pPr>
              <w:spacing w:after="0" w:line="240" w:lineRule="auto"/>
              <w:jc w:val="right"/>
              <w:rPr>
                <w:rFonts w:ascii="Arial" w:hAnsi="Arial" w:cs="Arial"/>
                <w:color w:val="000000"/>
                <w:sz w:val="18"/>
                <w:szCs w:val="18"/>
              </w:rPr>
            </w:pPr>
            <w:r w:rsidRPr="00C67C91">
              <w:rPr>
                <w:rFonts w:ascii="Arial" w:hAnsi="Arial" w:cs="Arial"/>
                <w:color w:val="000000"/>
                <w:sz w:val="18"/>
                <w:szCs w:val="18"/>
              </w:rPr>
              <w:t>156.055,93</w:t>
            </w:r>
          </w:p>
        </w:tc>
        <w:tc>
          <w:tcPr>
            <w:tcW w:w="1042" w:type="pct"/>
            <w:tcBorders>
              <w:top w:val="single" w:sz="4" w:space="0" w:color="auto"/>
              <w:left w:val="nil"/>
              <w:right w:val="nil"/>
            </w:tcBorders>
            <w:noWrap/>
            <w:vAlign w:val="center"/>
            <w:hideMark/>
          </w:tcPr>
          <w:p w:rsidR="00BA7C9B" w:rsidRPr="00C67C91" w:rsidRDefault="00BA7C9B" w:rsidP="00C67C91">
            <w:pPr>
              <w:spacing w:after="0" w:line="240" w:lineRule="auto"/>
              <w:jc w:val="right"/>
              <w:rPr>
                <w:rFonts w:ascii="Arial" w:hAnsi="Arial" w:cs="Arial"/>
                <w:color w:val="000000"/>
                <w:sz w:val="18"/>
                <w:szCs w:val="18"/>
              </w:rPr>
            </w:pPr>
            <w:r w:rsidRPr="00C67C91">
              <w:rPr>
                <w:rFonts w:ascii="Arial" w:hAnsi="Arial" w:cs="Arial"/>
                <w:color w:val="000000"/>
                <w:sz w:val="18"/>
                <w:szCs w:val="18"/>
              </w:rPr>
              <w:t>417.800,00</w:t>
            </w:r>
          </w:p>
        </w:tc>
      </w:tr>
      <w:tr w:rsidR="00BA7C9B" w:rsidRPr="00C67C91" w:rsidTr="00B467FA">
        <w:trPr>
          <w:trHeight w:val="283"/>
          <w:jc w:val="center"/>
        </w:trPr>
        <w:tc>
          <w:tcPr>
            <w:tcW w:w="3032" w:type="pct"/>
            <w:tcBorders>
              <w:left w:val="nil"/>
              <w:bottom w:val="single" w:sz="4" w:space="0" w:color="auto"/>
              <w:right w:val="nil"/>
            </w:tcBorders>
            <w:noWrap/>
            <w:vAlign w:val="center"/>
            <w:hideMark/>
          </w:tcPr>
          <w:p w:rsidR="00BA7C9B" w:rsidRPr="00C67C91" w:rsidRDefault="00BA7C9B" w:rsidP="00C67C91">
            <w:pPr>
              <w:spacing w:after="0" w:line="240" w:lineRule="auto"/>
              <w:rPr>
                <w:rFonts w:ascii="Arial" w:hAnsi="Arial" w:cs="Arial"/>
                <w:color w:val="000000"/>
                <w:sz w:val="18"/>
                <w:szCs w:val="18"/>
              </w:rPr>
            </w:pPr>
            <w:r w:rsidRPr="00C67C91">
              <w:rPr>
                <w:rFonts w:ascii="Arial" w:hAnsi="Arial" w:cs="Arial"/>
                <w:color w:val="000000"/>
                <w:sz w:val="18"/>
                <w:szCs w:val="18"/>
              </w:rPr>
              <w:t>Préstamos y partidas a cobrar</w:t>
            </w:r>
          </w:p>
        </w:tc>
        <w:tc>
          <w:tcPr>
            <w:tcW w:w="926" w:type="pct"/>
            <w:tcBorders>
              <w:left w:val="nil"/>
              <w:bottom w:val="single" w:sz="4" w:space="0" w:color="auto"/>
              <w:right w:val="nil"/>
            </w:tcBorders>
            <w:noWrap/>
            <w:vAlign w:val="center"/>
            <w:hideMark/>
          </w:tcPr>
          <w:p w:rsidR="00BA7C9B" w:rsidRPr="00C67C91" w:rsidRDefault="00756F01" w:rsidP="00C67C91">
            <w:pPr>
              <w:spacing w:after="0" w:line="240" w:lineRule="auto"/>
              <w:jc w:val="right"/>
              <w:rPr>
                <w:rFonts w:ascii="Arial" w:hAnsi="Arial" w:cs="Arial"/>
                <w:color w:val="000000"/>
                <w:sz w:val="18"/>
                <w:szCs w:val="18"/>
              </w:rPr>
            </w:pPr>
            <w:r w:rsidRPr="00C67C91">
              <w:rPr>
                <w:rFonts w:ascii="Arial" w:hAnsi="Arial" w:cs="Arial"/>
                <w:color w:val="000000"/>
                <w:sz w:val="18"/>
                <w:szCs w:val="18"/>
              </w:rPr>
              <w:t>6.275.435,10</w:t>
            </w:r>
          </w:p>
        </w:tc>
        <w:tc>
          <w:tcPr>
            <w:tcW w:w="1042" w:type="pct"/>
            <w:tcBorders>
              <w:left w:val="nil"/>
              <w:bottom w:val="single" w:sz="4" w:space="0" w:color="auto"/>
              <w:right w:val="nil"/>
            </w:tcBorders>
            <w:noWrap/>
            <w:vAlign w:val="center"/>
            <w:hideMark/>
          </w:tcPr>
          <w:p w:rsidR="00BA7C9B" w:rsidRPr="00C67C91" w:rsidRDefault="00BA7C9B" w:rsidP="00C67C91">
            <w:pPr>
              <w:spacing w:after="0" w:line="240" w:lineRule="auto"/>
              <w:jc w:val="right"/>
              <w:rPr>
                <w:rFonts w:ascii="Arial" w:hAnsi="Arial" w:cs="Arial"/>
                <w:color w:val="000000"/>
                <w:sz w:val="18"/>
                <w:szCs w:val="18"/>
              </w:rPr>
            </w:pPr>
            <w:r w:rsidRPr="00C67C91">
              <w:rPr>
                <w:rFonts w:ascii="Arial" w:hAnsi="Arial" w:cs="Arial"/>
                <w:color w:val="000000"/>
                <w:sz w:val="18"/>
                <w:szCs w:val="18"/>
              </w:rPr>
              <w:t>4.482.616,05</w:t>
            </w:r>
          </w:p>
        </w:tc>
      </w:tr>
      <w:tr w:rsidR="00BA7C9B" w:rsidRPr="00C67C91" w:rsidTr="00B467FA">
        <w:trPr>
          <w:trHeight w:val="283"/>
          <w:jc w:val="center"/>
        </w:trPr>
        <w:tc>
          <w:tcPr>
            <w:tcW w:w="3032" w:type="pct"/>
            <w:tcBorders>
              <w:top w:val="single" w:sz="4" w:space="0" w:color="auto"/>
              <w:left w:val="nil"/>
              <w:bottom w:val="single" w:sz="4" w:space="0" w:color="auto"/>
              <w:right w:val="nil"/>
            </w:tcBorders>
            <w:shd w:val="clear" w:color="auto" w:fill="F2F2F2" w:themeFill="background1" w:themeFillShade="F2"/>
            <w:noWrap/>
            <w:vAlign w:val="center"/>
            <w:hideMark/>
          </w:tcPr>
          <w:p w:rsidR="00BA7C9B" w:rsidRPr="00C67C91" w:rsidRDefault="00BA7C9B" w:rsidP="00C67C91">
            <w:pPr>
              <w:spacing w:after="0" w:line="240" w:lineRule="auto"/>
              <w:rPr>
                <w:rFonts w:ascii="Arial" w:hAnsi="Arial" w:cs="Arial"/>
                <w:b/>
                <w:bCs/>
                <w:color w:val="000000"/>
                <w:sz w:val="18"/>
                <w:szCs w:val="18"/>
              </w:rPr>
            </w:pPr>
            <w:r w:rsidRPr="00C67C91">
              <w:rPr>
                <w:rFonts w:ascii="Arial" w:hAnsi="Arial" w:cs="Arial"/>
                <w:b/>
                <w:bCs/>
                <w:color w:val="000000"/>
                <w:sz w:val="18"/>
                <w:szCs w:val="18"/>
              </w:rPr>
              <w:t>Total</w:t>
            </w:r>
          </w:p>
        </w:tc>
        <w:tc>
          <w:tcPr>
            <w:tcW w:w="926" w:type="pct"/>
            <w:tcBorders>
              <w:top w:val="single" w:sz="4" w:space="0" w:color="auto"/>
              <w:left w:val="nil"/>
              <w:bottom w:val="single" w:sz="4" w:space="0" w:color="auto"/>
              <w:right w:val="nil"/>
            </w:tcBorders>
            <w:shd w:val="clear" w:color="auto" w:fill="F2F2F2" w:themeFill="background1" w:themeFillShade="F2"/>
            <w:noWrap/>
            <w:vAlign w:val="center"/>
            <w:hideMark/>
          </w:tcPr>
          <w:p w:rsidR="00BA7C9B" w:rsidRPr="00C67C91" w:rsidRDefault="00756F01" w:rsidP="00C67C91">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6.431.491,03</w:t>
            </w:r>
          </w:p>
        </w:tc>
        <w:tc>
          <w:tcPr>
            <w:tcW w:w="1042" w:type="pct"/>
            <w:tcBorders>
              <w:top w:val="single" w:sz="4" w:space="0" w:color="auto"/>
              <w:left w:val="nil"/>
              <w:bottom w:val="single" w:sz="4" w:space="0" w:color="auto"/>
              <w:right w:val="nil"/>
            </w:tcBorders>
            <w:shd w:val="clear" w:color="auto" w:fill="F2F2F2" w:themeFill="background1" w:themeFillShade="F2"/>
            <w:noWrap/>
            <w:vAlign w:val="center"/>
            <w:hideMark/>
          </w:tcPr>
          <w:p w:rsidR="00BA7C9B" w:rsidRPr="00C67C91" w:rsidRDefault="00BA7C9B" w:rsidP="00C67C91">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4.900.416,05</w:t>
            </w:r>
          </w:p>
        </w:tc>
      </w:tr>
    </w:tbl>
    <w:p w:rsidR="00D36A30" w:rsidRPr="00C67C91" w:rsidRDefault="00D36A30" w:rsidP="00C70996">
      <w:pPr>
        <w:keepNext/>
        <w:keepLines/>
        <w:spacing w:before="240" w:after="120" w:line="240" w:lineRule="auto"/>
        <w:jc w:val="both"/>
        <w:rPr>
          <w:rFonts w:ascii="Arial" w:hAnsi="Arial" w:cs="Arial"/>
          <w:sz w:val="20"/>
          <w:szCs w:val="20"/>
        </w:rPr>
      </w:pPr>
      <w:r w:rsidRPr="00C67C91">
        <w:rPr>
          <w:rFonts w:ascii="Arial" w:hAnsi="Arial" w:cs="Arial"/>
          <w:sz w:val="20"/>
          <w:szCs w:val="20"/>
        </w:rPr>
        <w:t xml:space="preserve">La composición de los préstamos y partidas a cobrar a 31 de diciembre de </w:t>
      </w:r>
      <w:r w:rsidR="00FA495B" w:rsidRPr="00C67C91">
        <w:rPr>
          <w:rFonts w:ascii="Arial" w:hAnsi="Arial" w:cs="Arial"/>
          <w:sz w:val="20"/>
          <w:szCs w:val="20"/>
        </w:rPr>
        <w:t xml:space="preserve">2020 y 2019 </w:t>
      </w:r>
      <w:r w:rsidRPr="00C67C91">
        <w:rPr>
          <w:rFonts w:ascii="Arial" w:hAnsi="Arial" w:cs="Arial"/>
          <w:sz w:val="20"/>
          <w:szCs w:val="20"/>
        </w:rPr>
        <w:t>es el siguiente, en euros:</w:t>
      </w:r>
    </w:p>
    <w:tbl>
      <w:tblPr>
        <w:tblW w:w="5000" w:type="pct"/>
        <w:tblCellMar>
          <w:left w:w="70" w:type="dxa"/>
          <w:right w:w="70" w:type="dxa"/>
        </w:tblCellMar>
        <w:tblLook w:val="04A0"/>
      </w:tblPr>
      <w:tblGrid>
        <w:gridCol w:w="4839"/>
        <w:gridCol w:w="1902"/>
        <w:gridCol w:w="1904"/>
      </w:tblGrid>
      <w:tr w:rsidR="00BA7C9B" w:rsidRPr="00C67C91" w:rsidTr="00B467FA">
        <w:trPr>
          <w:trHeight w:val="283"/>
        </w:trPr>
        <w:tc>
          <w:tcPr>
            <w:tcW w:w="2799" w:type="pct"/>
            <w:tcBorders>
              <w:top w:val="nil"/>
              <w:left w:val="nil"/>
              <w:bottom w:val="single" w:sz="4" w:space="0" w:color="auto"/>
              <w:right w:val="nil"/>
            </w:tcBorders>
            <w:shd w:val="clear" w:color="000000" w:fill="D9D9D9"/>
            <w:noWrap/>
            <w:vAlign w:val="bottom"/>
            <w:hideMark/>
          </w:tcPr>
          <w:p w:rsidR="00BA7C9B" w:rsidRPr="00C67C91" w:rsidRDefault="00BA7C9B" w:rsidP="00C70996">
            <w:pPr>
              <w:keepNext/>
              <w:keepLines/>
              <w:widowControl w:val="0"/>
              <w:spacing w:after="0" w:line="240" w:lineRule="auto"/>
              <w:jc w:val="center"/>
              <w:rPr>
                <w:rFonts w:ascii="Arial" w:hAnsi="Arial" w:cs="Arial"/>
                <w:color w:val="000000"/>
              </w:rPr>
            </w:pPr>
          </w:p>
        </w:tc>
        <w:tc>
          <w:tcPr>
            <w:tcW w:w="1100" w:type="pct"/>
            <w:tcBorders>
              <w:top w:val="nil"/>
              <w:left w:val="nil"/>
              <w:bottom w:val="single" w:sz="4" w:space="0" w:color="auto"/>
              <w:right w:val="nil"/>
            </w:tcBorders>
            <w:shd w:val="clear" w:color="000000" w:fill="D9D9D9"/>
            <w:noWrap/>
            <w:vAlign w:val="bottom"/>
            <w:hideMark/>
          </w:tcPr>
          <w:p w:rsidR="00BA7C9B" w:rsidRPr="00C67C91" w:rsidRDefault="00BA7C9B" w:rsidP="00C70996">
            <w:pPr>
              <w:keepNext/>
              <w:keepLines/>
              <w:widowControl w:val="0"/>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31/12/2020</w:t>
            </w:r>
          </w:p>
        </w:tc>
        <w:tc>
          <w:tcPr>
            <w:tcW w:w="1101" w:type="pct"/>
            <w:tcBorders>
              <w:top w:val="nil"/>
              <w:left w:val="nil"/>
              <w:bottom w:val="single" w:sz="4" w:space="0" w:color="auto"/>
              <w:right w:val="nil"/>
            </w:tcBorders>
            <w:shd w:val="clear" w:color="000000" w:fill="D9D9D9"/>
            <w:noWrap/>
            <w:vAlign w:val="bottom"/>
            <w:hideMark/>
          </w:tcPr>
          <w:p w:rsidR="00BA7C9B" w:rsidRPr="00C67C91" w:rsidRDefault="00BA7C9B" w:rsidP="00C70996">
            <w:pPr>
              <w:keepNext/>
              <w:keepLines/>
              <w:widowControl w:val="0"/>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31/12/2019</w:t>
            </w:r>
          </w:p>
        </w:tc>
      </w:tr>
      <w:tr w:rsidR="00BA7C9B" w:rsidRPr="00C67C91" w:rsidTr="00B467FA">
        <w:trPr>
          <w:trHeight w:val="283"/>
        </w:trPr>
        <w:tc>
          <w:tcPr>
            <w:tcW w:w="2799" w:type="pct"/>
            <w:tcBorders>
              <w:top w:val="single" w:sz="4" w:space="0" w:color="auto"/>
              <w:left w:val="nil"/>
              <w:bottom w:val="nil"/>
              <w:right w:val="nil"/>
            </w:tcBorders>
            <w:noWrap/>
            <w:vAlign w:val="center"/>
            <w:hideMark/>
          </w:tcPr>
          <w:p w:rsidR="00BA7C9B" w:rsidRPr="00C67C91" w:rsidRDefault="00BA7C9B" w:rsidP="00C70996">
            <w:pPr>
              <w:keepNext/>
              <w:keepLines/>
              <w:widowControl w:val="0"/>
              <w:spacing w:after="0" w:line="240" w:lineRule="auto"/>
              <w:rPr>
                <w:rFonts w:ascii="Arial" w:hAnsi="Arial" w:cs="Arial"/>
                <w:b/>
                <w:bCs/>
                <w:color w:val="000000"/>
                <w:sz w:val="18"/>
                <w:szCs w:val="18"/>
              </w:rPr>
            </w:pPr>
            <w:r w:rsidRPr="00C67C91">
              <w:rPr>
                <w:rFonts w:ascii="Arial" w:hAnsi="Arial" w:cs="Arial"/>
                <w:b/>
                <w:bCs/>
                <w:color w:val="000000"/>
                <w:sz w:val="18"/>
                <w:szCs w:val="18"/>
              </w:rPr>
              <w:t>Deudores comerciales y otras cuentas a cobrar</w:t>
            </w:r>
          </w:p>
        </w:tc>
        <w:tc>
          <w:tcPr>
            <w:tcW w:w="1100" w:type="pct"/>
            <w:tcBorders>
              <w:top w:val="single" w:sz="4" w:space="0" w:color="auto"/>
              <w:left w:val="nil"/>
              <w:bottom w:val="nil"/>
              <w:right w:val="nil"/>
            </w:tcBorders>
            <w:vAlign w:val="center"/>
          </w:tcPr>
          <w:p w:rsidR="00BA7C9B" w:rsidRPr="00C67C91" w:rsidRDefault="00BA7C9B" w:rsidP="00C70996">
            <w:pPr>
              <w:keepNext/>
              <w:keepLines/>
              <w:widowControl w:val="0"/>
              <w:spacing w:after="0" w:line="240" w:lineRule="auto"/>
              <w:jc w:val="right"/>
              <w:rPr>
                <w:rFonts w:ascii="Arial" w:hAnsi="Arial" w:cs="Arial"/>
                <w:b/>
                <w:bCs/>
                <w:color w:val="000000"/>
                <w:sz w:val="18"/>
                <w:szCs w:val="18"/>
              </w:rPr>
            </w:pPr>
          </w:p>
        </w:tc>
        <w:tc>
          <w:tcPr>
            <w:tcW w:w="1101" w:type="pct"/>
            <w:tcBorders>
              <w:top w:val="single" w:sz="4" w:space="0" w:color="auto"/>
              <w:left w:val="nil"/>
              <w:bottom w:val="nil"/>
              <w:right w:val="nil"/>
            </w:tcBorders>
            <w:vAlign w:val="center"/>
          </w:tcPr>
          <w:p w:rsidR="00BA7C9B" w:rsidRPr="00C67C91" w:rsidRDefault="00BA7C9B" w:rsidP="00C70996">
            <w:pPr>
              <w:keepNext/>
              <w:keepLines/>
              <w:widowControl w:val="0"/>
              <w:spacing w:after="0" w:line="240" w:lineRule="auto"/>
              <w:jc w:val="right"/>
              <w:rPr>
                <w:rFonts w:ascii="Arial" w:hAnsi="Arial" w:cs="Arial"/>
                <w:b/>
                <w:bCs/>
                <w:color w:val="000000"/>
                <w:sz w:val="18"/>
                <w:szCs w:val="18"/>
              </w:rPr>
            </w:pPr>
          </w:p>
        </w:tc>
      </w:tr>
      <w:tr w:rsidR="00C70996" w:rsidRPr="00C67C91" w:rsidTr="00B467FA">
        <w:trPr>
          <w:trHeight w:val="283"/>
        </w:trPr>
        <w:tc>
          <w:tcPr>
            <w:tcW w:w="2799" w:type="pct"/>
            <w:tcBorders>
              <w:top w:val="nil"/>
              <w:left w:val="nil"/>
              <w:bottom w:val="nil"/>
              <w:right w:val="nil"/>
            </w:tcBorders>
            <w:noWrap/>
            <w:vAlign w:val="center"/>
            <w:hideMark/>
          </w:tcPr>
          <w:p w:rsidR="00C70996" w:rsidRPr="00C67C91" w:rsidRDefault="00C70996" w:rsidP="00C70996">
            <w:pPr>
              <w:keepNext/>
              <w:keepLines/>
              <w:widowControl w:val="0"/>
              <w:spacing w:after="0" w:line="240" w:lineRule="auto"/>
              <w:ind w:firstLineChars="100" w:firstLine="180"/>
              <w:rPr>
                <w:rFonts w:ascii="Arial" w:hAnsi="Arial" w:cs="Arial"/>
                <w:color w:val="000000"/>
                <w:sz w:val="18"/>
                <w:szCs w:val="18"/>
              </w:rPr>
            </w:pPr>
            <w:r w:rsidRPr="00C67C91">
              <w:rPr>
                <w:rFonts w:ascii="Arial" w:hAnsi="Arial" w:cs="Arial"/>
                <w:color w:val="000000"/>
                <w:sz w:val="18"/>
                <w:szCs w:val="18"/>
              </w:rPr>
              <w:t>Clientes por ventas y prestación de servicios</w:t>
            </w:r>
          </w:p>
        </w:tc>
        <w:tc>
          <w:tcPr>
            <w:tcW w:w="1100" w:type="pct"/>
            <w:tcBorders>
              <w:top w:val="nil"/>
              <w:left w:val="nil"/>
              <w:bottom w:val="nil"/>
              <w:right w:val="nil"/>
            </w:tcBorders>
            <w:vAlign w:val="center"/>
            <w:hideMark/>
          </w:tcPr>
          <w:p w:rsidR="00C70996" w:rsidRDefault="00C70996" w:rsidP="00C70996">
            <w:pPr>
              <w:keepNext/>
              <w:keepLines/>
              <w:widowControl w:val="0"/>
              <w:spacing w:after="0"/>
              <w:jc w:val="right"/>
              <w:rPr>
                <w:rFonts w:ascii="Arial" w:hAnsi="Arial" w:cs="Arial"/>
                <w:color w:val="000000"/>
                <w:sz w:val="18"/>
                <w:szCs w:val="18"/>
              </w:rPr>
            </w:pPr>
            <w:r>
              <w:rPr>
                <w:rFonts w:ascii="Arial" w:hAnsi="Arial" w:cs="Arial"/>
                <w:color w:val="000000"/>
                <w:sz w:val="18"/>
                <w:szCs w:val="18"/>
              </w:rPr>
              <w:t>1.260.742,39</w:t>
            </w:r>
          </w:p>
        </w:tc>
        <w:tc>
          <w:tcPr>
            <w:tcW w:w="1101" w:type="pct"/>
            <w:tcBorders>
              <w:top w:val="nil"/>
              <w:left w:val="nil"/>
              <w:bottom w:val="nil"/>
              <w:right w:val="nil"/>
            </w:tcBorders>
            <w:vAlign w:val="center"/>
            <w:hideMark/>
          </w:tcPr>
          <w:p w:rsidR="00C70996" w:rsidRPr="00C67C91" w:rsidRDefault="00C70996" w:rsidP="00C70996">
            <w:pPr>
              <w:keepNext/>
              <w:keepLines/>
              <w:widowControl w:val="0"/>
              <w:spacing w:after="0" w:line="240" w:lineRule="auto"/>
              <w:jc w:val="right"/>
              <w:rPr>
                <w:rFonts w:ascii="Arial" w:hAnsi="Arial" w:cs="Arial"/>
                <w:color w:val="000000"/>
                <w:sz w:val="18"/>
                <w:szCs w:val="18"/>
              </w:rPr>
            </w:pPr>
            <w:r w:rsidRPr="00C67C91">
              <w:rPr>
                <w:rFonts w:ascii="Arial" w:hAnsi="Arial" w:cs="Arial"/>
                <w:color w:val="000000"/>
                <w:sz w:val="18"/>
                <w:szCs w:val="18"/>
              </w:rPr>
              <w:t>765.621,05</w:t>
            </w:r>
          </w:p>
        </w:tc>
      </w:tr>
      <w:tr w:rsidR="00C70996" w:rsidRPr="00C67C91" w:rsidTr="00B467FA">
        <w:trPr>
          <w:trHeight w:val="283"/>
        </w:trPr>
        <w:tc>
          <w:tcPr>
            <w:tcW w:w="2799" w:type="pct"/>
            <w:tcBorders>
              <w:top w:val="nil"/>
              <w:left w:val="nil"/>
              <w:right w:val="nil"/>
            </w:tcBorders>
            <w:noWrap/>
            <w:vAlign w:val="center"/>
            <w:hideMark/>
          </w:tcPr>
          <w:p w:rsidR="00C70996" w:rsidRPr="00C67C91" w:rsidRDefault="00C70996" w:rsidP="00C70996">
            <w:pPr>
              <w:keepNext/>
              <w:keepLines/>
              <w:widowControl w:val="0"/>
              <w:spacing w:after="0" w:line="240" w:lineRule="auto"/>
              <w:ind w:firstLineChars="100" w:firstLine="180"/>
              <w:rPr>
                <w:rFonts w:ascii="Arial" w:hAnsi="Arial" w:cs="Arial"/>
                <w:color w:val="000000"/>
                <w:sz w:val="18"/>
                <w:szCs w:val="18"/>
              </w:rPr>
            </w:pPr>
            <w:r w:rsidRPr="00C67C91">
              <w:rPr>
                <w:rFonts w:ascii="Arial" w:hAnsi="Arial" w:cs="Arial"/>
                <w:color w:val="000000"/>
                <w:sz w:val="18"/>
                <w:szCs w:val="18"/>
              </w:rPr>
              <w:t>Clientes, empresas del grupo y asociadas (Nota 9)</w:t>
            </w:r>
          </w:p>
        </w:tc>
        <w:tc>
          <w:tcPr>
            <w:tcW w:w="1100" w:type="pct"/>
            <w:tcBorders>
              <w:top w:val="nil"/>
              <w:left w:val="nil"/>
              <w:right w:val="nil"/>
            </w:tcBorders>
            <w:vAlign w:val="center"/>
            <w:hideMark/>
          </w:tcPr>
          <w:p w:rsidR="00C70996" w:rsidRDefault="00C70996" w:rsidP="00C70996">
            <w:pPr>
              <w:keepNext/>
              <w:keepLines/>
              <w:widowControl w:val="0"/>
              <w:spacing w:after="0"/>
              <w:jc w:val="right"/>
              <w:rPr>
                <w:rFonts w:ascii="Arial" w:hAnsi="Arial" w:cs="Arial"/>
                <w:color w:val="000000"/>
                <w:sz w:val="18"/>
                <w:szCs w:val="18"/>
              </w:rPr>
            </w:pPr>
            <w:r>
              <w:rPr>
                <w:rFonts w:ascii="Arial" w:hAnsi="Arial" w:cs="Arial"/>
                <w:color w:val="000000"/>
                <w:sz w:val="18"/>
                <w:szCs w:val="18"/>
              </w:rPr>
              <w:t>4.481.000,00</w:t>
            </w:r>
          </w:p>
        </w:tc>
        <w:tc>
          <w:tcPr>
            <w:tcW w:w="1101" w:type="pct"/>
            <w:tcBorders>
              <w:top w:val="nil"/>
              <w:left w:val="nil"/>
              <w:right w:val="nil"/>
            </w:tcBorders>
            <w:vAlign w:val="center"/>
            <w:hideMark/>
          </w:tcPr>
          <w:p w:rsidR="00C70996" w:rsidRPr="00C67C91" w:rsidRDefault="00C70996" w:rsidP="00C70996">
            <w:pPr>
              <w:keepNext/>
              <w:keepLines/>
              <w:widowControl w:val="0"/>
              <w:spacing w:after="0" w:line="240" w:lineRule="auto"/>
              <w:jc w:val="right"/>
              <w:rPr>
                <w:rFonts w:ascii="Arial" w:hAnsi="Arial" w:cs="Arial"/>
                <w:color w:val="000000"/>
                <w:sz w:val="18"/>
                <w:szCs w:val="18"/>
              </w:rPr>
            </w:pPr>
            <w:r w:rsidRPr="00C67C91">
              <w:rPr>
                <w:rFonts w:ascii="Arial" w:hAnsi="Arial" w:cs="Arial"/>
                <w:color w:val="000000"/>
                <w:sz w:val="18"/>
                <w:szCs w:val="18"/>
              </w:rPr>
              <w:t>3.197.000,00</w:t>
            </w:r>
          </w:p>
        </w:tc>
      </w:tr>
      <w:tr w:rsidR="00C70996" w:rsidRPr="00C67C91" w:rsidTr="00B467FA">
        <w:trPr>
          <w:trHeight w:val="283"/>
        </w:trPr>
        <w:tc>
          <w:tcPr>
            <w:tcW w:w="2799" w:type="pct"/>
            <w:tcBorders>
              <w:top w:val="nil"/>
              <w:left w:val="nil"/>
              <w:bottom w:val="nil"/>
              <w:right w:val="nil"/>
            </w:tcBorders>
            <w:noWrap/>
            <w:vAlign w:val="center"/>
            <w:hideMark/>
          </w:tcPr>
          <w:p w:rsidR="00C70996" w:rsidRPr="00C67C91" w:rsidRDefault="00C70996" w:rsidP="00C70996">
            <w:pPr>
              <w:spacing w:after="0" w:line="240" w:lineRule="auto"/>
              <w:rPr>
                <w:rFonts w:ascii="Arial" w:hAnsi="Arial" w:cs="Arial"/>
                <w:b/>
                <w:bCs/>
                <w:color w:val="000000"/>
                <w:sz w:val="18"/>
                <w:szCs w:val="18"/>
              </w:rPr>
            </w:pPr>
            <w:r w:rsidRPr="00C67C91">
              <w:rPr>
                <w:rFonts w:ascii="Arial" w:hAnsi="Arial" w:cs="Arial"/>
                <w:b/>
                <w:bCs/>
                <w:color w:val="000000"/>
                <w:sz w:val="18"/>
                <w:szCs w:val="18"/>
              </w:rPr>
              <w:t>Inversiones E</w:t>
            </w:r>
            <w:r>
              <w:rPr>
                <w:rFonts w:ascii="Arial" w:hAnsi="Arial" w:cs="Arial"/>
                <w:b/>
                <w:bCs/>
                <w:color w:val="000000"/>
                <w:sz w:val="18"/>
                <w:szCs w:val="18"/>
              </w:rPr>
              <w:t>ª</w:t>
            </w:r>
            <w:r w:rsidRPr="00C67C91">
              <w:rPr>
                <w:rFonts w:ascii="Arial" w:hAnsi="Arial" w:cs="Arial"/>
                <w:b/>
                <w:bCs/>
                <w:color w:val="000000"/>
                <w:sz w:val="18"/>
                <w:szCs w:val="18"/>
              </w:rPr>
              <w:t xml:space="preserve"> del grupo y asociadas c/p (Nota 9)</w:t>
            </w:r>
          </w:p>
        </w:tc>
        <w:tc>
          <w:tcPr>
            <w:tcW w:w="1100" w:type="pct"/>
            <w:tcBorders>
              <w:top w:val="nil"/>
              <w:left w:val="nil"/>
              <w:bottom w:val="nil"/>
              <w:right w:val="nil"/>
            </w:tcBorders>
            <w:vAlign w:val="center"/>
            <w:hideMark/>
          </w:tcPr>
          <w:p w:rsidR="00C70996" w:rsidRDefault="00C70996" w:rsidP="00C70996">
            <w:pPr>
              <w:spacing w:after="0"/>
              <w:jc w:val="right"/>
              <w:rPr>
                <w:rFonts w:ascii="Arial" w:hAnsi="Arial" w:cs="Arial"/>
                <w:color w:val="000000"/>
                <w:sz w:val="18"/>
                <w:szCs w:val="18"/>
              </w:rPr>
            </w:pPr>
            <w:r>
              <w:rPr>
                <w:rFonts w:ascii="Arial" w:hAnsi="Arial" w:cs="Arial"/>
                <w:color w:val="000000"/>
                <w:sz w:val="18"/>
                <w:szCs w:val="18"/>
              </w:rPr>
              <w:t>533.538,63</w:t>
            </w:r>
          </w:p>
        </w:tc>
        <w:tc>
          <w:tcPr>
            <w:tcW w:w="1101" w:type="pct"/>
            <w:tcBorders>
              <w:top w:val="nil"/>
              <w:left w:val="nil"/>
              <w:bottom w:val="nil"/>
              <w:right w:val="nil"/>
            </w:tcBorders>
            <w:vAlign w:val="center"/>
            <w:hideMark/>
          </w:tcPr>
          <w:p w:rsidR="00C70996" w:rsidRPr="00C67C91" w:rsidRDefault="00C70996" w:rsidP="00C70996">
            <w:pPr>
              <w:spacing w:after="0" w:line="240" w:lineRule="auto"/>
              <w:jc w:val="right"/>
              <w:rPr>
                <w:rFonts w:ascii="Arial" w:hAnsi="Arial" w:cs="Arial"/>
                <w:color w:val="000000"/>
                <w:sz w:val="18"/>
                <w:szCs w:val="18"/>
              </w:rPr>
            </w:pPr>
            <w:r w:rsidRPr="00C67C91">
              <w:rPr>
                <w:rFonts w:ascii="Arial" w:hAnsi="Arial" w:cs="Arial"/>
                <w:color w:val="000000"/>
                <w:sz w:val="18"/>
                <w:szCs w:val="18"/>
              </w:rPr>
              <w:t>519.840,92</w:t>
            </w:r>
          </w:p>
        </w:tc>
      </w:tr>
      <w:tr w:rsidR="00C70996" w:rsidRPr="00C67C91" w:rsidTr="00B467FA">
        <w:trPr>
          <w:trHeight w:val="283"/>
        </w:trPr>
        <w:tc>
          <w:tcPr>
            <w:tcW w:w="2799" w:type="pct"/>
            <w:tcBorders>
              <w:top w:val="nil"/>
              <w:left w:val="nil"/>
              <w:bottom w:val="single" w:sz="4" w:space="0" w:color="auto"/>
              <w:right w:val="nil"/>
            </w:tcBorders>
            <w:noWrap/>
            <w:vAlign w:val="center"/>
            <w:hideMark/>
          </w:tcPr>
          <w:p w:rsidR="00C70996" w:rsidRPr="00C67C91" w:rsidRDefault="00C70996" w:rsidP="00C70996">
            <w:pPr>
              <w:spacing w:after="0" w:line="240" w:lineRule="auto"/>
              <w:rPr>
                <w:rFonts w:ascii="Arial" w:hAnsi="Arial" w:cs="Arial"/>
                <w:b/>
                <w:bCs/>
                <w:color w:val="000000"/>
                <w:sz w:val="18"/>
                <w:szCs w:val="18"/>
              </w:rPr>
            </w:pPr>
            <w:r w:rsidRPr="00C67C91">
              <w:rPr>
                <w:rFonts w:ascii="Arial" w:hAnsi="Arial" w:cs="Arial"/>
                <w:b/>
                <w:bCs/>
                <w:color w:val="000000"/>
                <w:sz w:val="18"/>
                <w:szCs w:val="18"/>
              </w:rPr>
              <w:t>Inversiones financieras a c/p</w:t>
            </w:r>
          </w:p>
        </w:tc>
        <w:tc>
          <w:tcPr>
            <w:tcW w:w="1100" w:type="pct"/>
            <w:tcBorders>
              <w:top w:val="nil"/>
              <w:left w:val="nil"/>
              <w:bottom w:val="single" w:sz="4" w:space="0" w:color="auto"/>
              <w:right w:val="nil"/>
            </w:tcBorders>
            <w:noWrap/>
            <w:vAlign w:val="center"/>
            <w:hideMark/>
          </w:tcPr>
          <w:p w:rsidR="00C70996" w:rsidRDefault="00C70996" w:rsidP="00C70996">
            <w:pPr>
              <w:spacing w:after="0"/>
              <w:jc w:val="right"/>
              <w:rPr>
                <w:rFonts w:ascii="Arial" w:hAnsi="Arial" w:cs="Arial"/>
                <w:color w:val="000000"/>
                <w:sz w:val="18"/>
                <w:szCs w:val="18"/>
              </w:rPr>
            </w:pPr>
            <w:r>
              <w:rPr>
                <w:rFonts w:ascii="Arial" w:hAnsi="Arial" w:cs="Arial"/>
                <w:color w:val="000000"/>
                <w:sz w:val="18"/>
                <w:szCs w:val="18"/>
              </w:rPr>
              <w:t>154,08</w:t>
            </w:r>
          </w:p>
        </w:tc>
        <w:tc>
          <w:tcPr>
            <w:tcW w:w="1101" w:type="pct"/>
            <w:tcBorders>
              <w:top w:val="nil"/>
              <w:left w:val="nil"/>
              <w:bottom w:val="single" w:sz="4" w:space="0" w:color="auto"/>
              <w:right w:val="nil"/>
            </w:tcBorders>
            <w:noWrap/>
            <w:vAlign w:val="center"/>
            <w:hideMark/>
          </w:tcPr>
          <w:p w:rsidR="00C70996" w:rsidRPr="00C67C91" w:rsidRDefault="00C70996" w:rsidP="00C70996">
            <w:pPr>
              <w:spacing w:after="0" w:line="240" w:lineRule="auto"/>
              <w:jc w:val="right"/>
              <w:rPr>
                <w:rFonts w:ascii="Arial" w:hAnsi="Arial" w:cs="Arial"/>
                <w:color w:val="000000"/>
                <w:sz w:val="18"/>
                <w:szCs w:val="18"/>
              </w:rPr>
            </w:pPr>
            <w:r w:rsidRPr="00C67C91">
              <w:rPr>
                <w:rFonts w:ascii="Arial" w:hAnsi="Arial" w:cs="Arial"/>
                <w:color w:val="000000"/>
                <w:sz w:val="18"/>
                <w:szCs w:val="18"/>
              </w:rPr>
              <w:t>154,08</w:t>
            </w:r>
          </w:p>
        </w:tc>
      </w:tr>
      <w:tr w:rsidR="00C70996" w:rsidRPr="00C67C91" w:rsidTr="00B467FA">
        <w:trPr>
          <w:trHeight w:val="283"/>
        </w:trPr>
        <w:tc>
          <w:tcPr>
            <w:tcW w:w="2799" w:type="pct"/>
            <w:tcBorders>
              <w:top w:val="single" w:sz="4" w:space="0" w:color="auto"/>
              <w:left w:val="nil"/>
              <w:bottom w:val="single" w:sz="4" w:space="0" w:color="auto"/>
              <w:right w:val="nil"/>
            </w:tcBorders>
            <w:shd w:val="clear" w:color="auto" w:fill="F2F2F2" w:themeFill="background1" w:themeFillShade="F2"/>
            <w:noWrap/>
            <w:vAlign w:val="center"/>
            <w:hideMark/>
          </w:tcPr>
          <w:p w:rsidR="00C70996" w:rsidRPr="00C67C91" w:rsidRDefault="00C70996" w:rsidP="00C70996">
            <w:pPr>
              <w:spacing w:after="0" w:line="240" w:lineRule="auto"/>
              <w:rPr>
                <w:rFonts w:ascii="Arial" w:hAnsi="Arial" w:cs="Arial"/>
                <w:b/>
                <w:bCs/>
                <w:color w:val="000000"/>
                <w:sz w:val="18"/>
                <w:szCs w:val="18"/>
              </w:rPr>
            </w:pPr>
            <w:r w:rsidRPr="00C67C91">
              <w:rPr>
                <w:rFonts w:ascii="Arial" w:hAnsi="Arial" w:cs="Arial"/>
                <w:b/>
                <w:bCs/>
                <w:color w:val="000000"/>
                <w:sz w:val="18"/>
                <w:szCs w:val="18"/>
              </w:rPr>
              <w:t>Total</w:t>
            </w:r>
          </w:p>
        </w:tc>
        <w:tc>
          <w:tcPr>
            <w:tcW w:w="1100" w:type="pct"/>
            <w:tcBorders>
              <w:top w:val="single" w:sz="4" w:space="0" w:color="auto"/>
              <w:left w:val="nil"/>
              <w:bottom w:val="single" w:sz="4" w:space="0" w:color="auto"/>
              <w:right w:val="nil"/>
            </w:tcBorders>
            <w:shd w:val="clear" w:color="auto" w:fill="F2F2F2" w:themeFill="background1" w:themeFillShade="F2"/>
            <w:vAlign w:val="center"/>
            <w:hideMark/>
          </w:tcPr>
          <w:p w:rsidR="00C70996" w:rsidRDefault="00C70996" w:rsidP="00C70996">
            <w:pPr>
              <w:spacing w:after="0"/>
              <w:jc w:val="right"/>
              <w:rPr>
                <w:rFonts w:ascii="Arial" w:hAnsi="Arial" w:cs="Arial"/>
                <w:b/>
                <w:bCs/>
                <w:color w:val="000000"/>
                <w:sz w:val="18"/>
                <w:szCs w:val="18"/>
              </w:rPr>
            </w:pPr>
            <w:r>
              <w:rPr>
                <w:rFonts w:ascii="Arial" w:hAnsi="Arial" w:cs="Arial"/>
                <w:b/>
                <w:bCs/>
                <w:color w:val="000000"/>
                <w:sz w:val="18"/>
                <w:szCs w:val="18"/>
              </w:rPr>
              <w:t>6.275.435,10</w:t>
            </w:r>
          </w:p>
        </w:tc>
        <w:tc>
          <w:tcPr>
            <w:tcW w:w="1101" w:type="pct"/>
            <w:tcBorders>
              <w:top w:val="single" w:sz="4" w:space="0" w:color="auto"/>
              <w:left w:val="nil"/>
              <w:bottom w:val="single" w:sz="4" w:space="0" w:color="auto"/>
              <w:right w:val="nil"/>
            </w:tcBorders>
            <w:shd w:val="clear" w:color="auto" w:fill="F2F2F2" w:themeFill="background1" w:themeFillShade="F2"/>
            <w:vAlign w:val="center"/>
            <w:hideMark/>
          </w:tcPr>
          <w:p w:rsidR="00C70996" w:rsidRPr="00C67C91" w:rsidRDefault="00C70996" w:rsidP="00C70996">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4.482.616,05</w:t>
            </w:r>
          </w:p>
        </w:tc>
      </w:tr>
    </w:tbl>
    <w:p w:rsidR="00BD0072" w:rsidRPr="00C67C91" w:rsidRDefault="00535039" w:rsidP="00B467FA">
      <w:pPr>
        <w:pStyle w:val="CM20"/>
        <w:spacing w:before="120" w:after="120" w:line="260" w:lineRule="exact"/>
        <w:jc w:val="both"/>
        <w:rPr>
          <w:rFonts w:ascii="Arial" w:hAnsi="Arial" w:cs="Arial"/>
          <w:sz w:val="20"/>
          <w:szCs w:val="20"/>
        </w:rPr>
      </w:pPr>
      <w:r w:rsidRPr="008912BE">
        <w:rPr>
          <w:rFonts w:ascii="Arial" w:hAnsi="Arial" w:cs="Arial"/>
          <w:sz w:val="20"/>
          <w:szCs w:val="20"/>
        </w:rPr>
        <w:t>El epígrafe “</w:t>
      </w:r>
      <w:r w:rsidRPr="008912BE">
        <w:rPr>
          <w:rFonts w:ascii="Arial" w:hAnsi="Arial" w:cs="Arial"/>
          <w:color w:val="000000"/>
          <w:sz w:val="18"/>
          <w:szCs w:val="18"/>
        </w:rPr>
        <w:t>Clientes por ventas y prestación de servicios”</w:t>
      </w:r>
      <w:r w:rsidR="00BD0072" w:rsidRPr="008912BE">
        <w:rPr>
          <w:rFonts w:ascii="Arial" w:hAnsi="Arial" w:cs="Arial"/>
          <w:sz w:val="20"/>
          <w:szCs w:val="20"/>
        </w:rPr>
        <w:t xml:space="preserve"> </w:t>
      </w:r>
      <w:r w:rsidRPr="008912BE">
        <w:rPr>
          <w:rFonts w:ascii="Arial" w:hAnsi="Arial" w:cs="Arial"/>
          <w:sz w:val="20"/>
          <w:szCs w:val="20"/>
        </w:rPr>
        <w:t>se corresponde con el saldo del</w:t>
      </w:r>
      <w:r w:rsidR="00BD0072" w:rsidRPr="008912BE">
        <w:rPr>
          <w:rFonts w:ascii="Arial" w:hAnsi="Arial" w:cs="Arial"/>
          <w:sz w:val="20"/>
          <w:szCs w:val="20"/>
        </w:rPr>
        <w:t xml:space="preserve"> Consorcio ACE (</w:t>
      </w:r>
      <w:proofErr w:type="spellStart"/>
      <w:r w:rsidR="00BD0072" w:rsidRPr="008912BE">
        <w:rPr>
          <w:rFonts w:ascii="Arial" w:hAnsi="Arial" w:cs="Arial"/>
          <w:sz w:val="20"/>
          <w:szCs w:val="20"/>
        </w:rPr>
        <w:t>African</w:t>
      </w:r>
      <w:proofErr w:type="spellEnd"/>
      <w:r w:rsidR="00BD0072" w:rsidRPr="008912BE">
        <w:rPr>
          <w:rFonts w:ascii="Arial" w:hAnsi="Arial" w:cs="Arial"/>
          <w:sz w:val="20"/>
          <w:szCs w:val="20"/>
        </w:rPr>
        <w:t xml:space="preserve"> </w:t>
      </w:r>
      <w:proofErr w:type="spellStart"/>
      <w:r w:rsidR="00BD0072" w:rsidRPr="008912BE">
        <w:rPr>
          <w:rFonts w:ascii="Arial" w:hAnsi="Arial" w:cs="Arial"/>
          <w:sz w:val="20"/>
          <w:szCs w:val="20"/>
        </w:rPr>
        <w:t>Coast</w:t>
      </w:r>
      <w:proofErr w:type="spellEnd"/>
      <w:r w:rsidR="00BD0072" w:rsidRPr="008912BE">
        <w:rPr>
          <w:rFonts w:ascii="Arial" w:hAnsi="Arial" w:cs="Arial"/>
          <w:sz w:val="20"/>
          <w:szCs w:val="20"/>
        </w:rPr>
        <w:t xml:space="preserve"> </w:t>
      </w:r>
      <w:proofErr w:type="spellStart"/>
      <w:r w:rsidR="00BD0072" w:rsidRPr="008912BE">
        <w:rPr>
          <w:rFonts w:ascii="Arial" w:hAnsi="Arial" w:cs="Arial"/>
          <w:sz w:val="20"/>
          <w:szCs w:val="20"/>
        </w:rPr>
        <w:t>to</w:t>
      </w:r>
      <w:proofErr w:type="spellEnd"/>
      <w:r w:rsidR="00BD0072" w:rsidRPr="008912BE">
        <w:rPr>
          <w:rFonts w:ascii="Arial" w:hAnsi="Arial" w:cs="Arial"/>
          <w:sz w:val="20"/>
          <w:szCs w:val="20"/>
        </w:rPr>
        <w:t xml:space="preserve"> </w:t>
      </w:r>
      <w:proofErr w:type="spellStart"/>
      <w:r w:rsidR="00BD0072" w:rsidRPr="008912BE">
        <w:rPr>
          <w:rFonts w:ascii="Arial" w:hAnsi="Arial" w:cs="Arial"/>
          <w:sz w:val="20"/>
          <w:szCs w:val="20"/>
        </w:rPr>
        <w:t>Europe</w:t>
      </w:r>
      <w:proofErr w:type="spellEnd"/>
      <w:r w:rsidR="00BD0072" w:rsidRPr="008912BE">
        <w:rPr>
          <w:rFonts w:ascii="Arial" w:hAnsi="Arial" w:cs="Arial"/>
          <w:sz w:val="20"/>
          <w:szCs w:val="20"/>
        </w:rPr>
        <w:t xml:space="preserve">) correspondiente </w:t>
      </w:r>
      <w:r w:rsidR="005C158A" w:rsidRPr="008912BE">
        <w:rPr>
          <w:rFonts w:ascii="Arial" w:hAnsi="Arial" w:cs="Arial"/>
          <w:sz w:val="20"/>
          <w:szCs w:val="20"/>
        </w:rPr>
        <w:t xml:space="preserve">al servicio prestado de </w:t>
      </w:r>
      <w:r w:rsidR="004F5597" w:rsidRPr="008912BE">
        <w:rPr>
          <w:rFonts w:ascii="Arial" w:hAnsi="Arial" w:cs="Arial"/>
          <w:sz w:val="20"/>
          <w:szCs w:val="20"/>
        </w:rPr>
        <w:t xml:space="preserve">mantenimiento </w:t>
      </w:r>
      <w:r w:rsidR="008912BE" w:rsidRPr="008912BE">
        <w:rPr>
          <w:rFonts w:ascii="Arial" w:hAnsi="Arial" w:cs="Arial"/>
          <w:sz w:val="20"/>
          <w:szCs w:val="20"/>
        </w:rPr>
        <w:t>del amarre (incluido canon) y estación de</w:t>
      </w:r>
      <w:r w:rsidR="004F5597" w:rsidRPr="008912BE">
        <w:rPr>
          <w:rFonts w:ascii="Arial" w:hAnsi="Arial" w:cs="Arial"/>
          <w:sz w:val="20"/>
          <w:szCs w:val="20"/>
        </w:rPr>
        <w:t xml:space="preserve"> </w:t>
      </w:r>
      <w:r w:rsidR="00BD0072" w:rsidRPr="008912BE">
        <w:rPr>
          <w:rFonts w:ascii="Arial" w:hAnsi="Arial" w:cs="Arial"/>
          <w:sz w:val="20"/>
          <w:szCs w:val="20"/>
        </w:rPr>
        <w:t>cable submarino</w:t>
      </w:r>
      <w:r w:rsidRPr="008912BE">
        <w:rPr>
          <w:rFonts w:ascii="Arial" w:hAnsi="Arial" w:cs="Arial"/>
          <w:sz w:val="20"/>
          <w:szCs w:val="20"/>
        </w:rPr>
        <w:t>.</w:t>
      </w:r>
    </w:p>
    <w:p w:rsidR="00336822" w:rsidRPr="00C67C91" w:rsidRDefault="00336822" w:rsidP="00B467FA">
      <w:pPr>
        <w:pStyle w:val="CM23"/>
        <w:spacing w:before="120" w:after="120" w:line="260" w:lineRule="exact"/>
        <w:jc w:val="both"/>
        <w:rPr>
          <w:rFonts w:ascii="Arial" w:hAnsi="Arial" w:cs="Arial"/>
          <w:sz w:val="20"/>
          <w:szCs w:val="20"/>
        </w:rPr>
      </w:pPr>
      <w:r w:rsidRPr="00C67C91">
        <w:rPr>
          <w:rFonts w:ascii="Arial" w:hAnsi="Arial" w:cs="Arial"/>
          <w:sz w:val="20"/>
          <w:szCs w:val="20"/>
        </w:rPr>
        <w:t xml:space="preserve">Las inversiones financieras en empresas del grupo a corto </w:t>
      </w:r>
      <w:r w:rsidR="004421E3" w:rsidRPr="00C67C91">
        <w:rPr>
          <w:rFonts w:ascii="Arial" w:hAnsi="Arial" w:cs="Arial"/>
          <w:sz w:val="20"/>
          <w:szCs w:val="20"/>
        </w:rPr>
        <w:t>plazo</w:t>
      </w:r>
      <w:r w:rsidRPr="00C67C91">
        <w:rPr>
          <w:rFonts w:ascii="Arial" w:hAnsi="Arial" w:cs="Arial"/>
          <w:sz w:val="20"/>
          <w:szCs w:val="20"/>
        </w:rPr>
        <w:t xml:space="preserve"> se corresponden con los créditos fiscales de que dispone la sociedad por las retenciones y deducciones pendientes de aplicar y asumidas por el grupo consolidado fiscal al que pertenece, por importe de</w:t>
      </w:r>
      <w:r w:rsidR="004421E3" w:rsidRPr="00C67C91">
        <w:rPr>
          <w:rFonts w:ascii="Arial" w:hAnsi="Arial" w:cs="Arial"/>
          <w:sz w:val="20"/>
          <w:szCs w:val="20"/>
        </w:rPr>
        <w:t xml:space="preserve"> </w:t>
      </w:r>
      <w:r w:rsidR="00756F01" w:rsidRPr="00C67C91">
        <w:rPr>
          <w:rFonts w:ascii="Arial" w:hAnsi="Arial" w:cs="Arial"/>
          <w:sz w:val="20"/>
          <w:szCs w:val="20"/>
        </w:rPr>
        <w:t>533.538,63</w:t>
      </w:r>
      <w:r w:rsidR="00E45C78" w:rsidRPr="00C67C91">
        <w:rPr>
          <w:rFonts w:ascii="Arial" w:hAnsi="Arial" w:cs="Arial"/>
          <w:sz w:val="20"/>
          <w:szCs w:val="20"/>
        </w:rPr>
        <w:t xml:space="preserve"> </w:t>
      </w:r>
      <w:r w:rsidR="00E45C78" w:rsidRPr="00C67C91">
        <w:rPr>
          <w:rFonts w:ascii="Arial" w:hAnsi="Arial" w:cs="Arial"/>
          <w:color w:val="000000"/>
          <w:sz w:val="20"/>
          <w:szCs w:val="20"/>
        </w:rPr>
        <w:t>euros</w:t>
      </w:r>
      <w:r w:rsidR="000567DA" w:rsidRPr="00C67C91">
        <w:rPr>
          <w:rFonts w:ascii="Arial" w:hAnsi="Arial" w:cs="Arial"/>
          <w:sz w:val="20"/>
          <w:szCs w:val="20"/>
        </w:rPr>
        <w:t xml:space="preserve"> </w:t>
      </w:r>
      <w:r w:rsidRPr="00C67C91">
        <w:rPr>
          <w:rFonts w:ascii="Arial" w:hAnsi="Arial" w:cs="Arial"/>
          <w:sz w:val="20"/>
          <w:szCs w:val="20"/>
        </w:rPr>
        <w:t>(</w:t>
      </w:r>
      <w:r w:rsidR="00FA495B" w:rsidRPr="00C67C91">
        <w:rPr>
          <w:rFonts w:ascii="Arial" w:hAnsi="Arial" w:cs="Arial"/>
          <w:color w:val="000000"/>
          <w:sz w:val="20"/>
          <w:szCs w:val="20"/>
        </w:rPr>
        <w:t xml:space="preserve">519.840,92 </w:t>
      </w:r>
      <w:r w:rsidR="00E45C78" w:rsidRPr="00C67C91">
        <w:rPr>
          <w:rFonts w:ascii="Arial" w:hAnsi="Arial" w:cs="Arial"/>
          <w:sz w:val="20"/>
          <w:szCs w:val="20"/>
        </w:rPr>
        <w:t>euros</w:t>
      </w:r>
      <w:r w:rsidR="00E45FFA" w:rsidRPr="00C67C91">
        <w:rPr>
          <w:rFonts w:ascii="Arial" w:hAnsi="Arial" w:cs="Arial"/>
          <w:sz w:val="20"/>
          <w:szCs w:val="20"/>
        </w:rPr>
        <w:t xml:space="preserve"> </w:t>
      </w:r>
      <w:r w:rsidRPr="00C67C91">
        <w:rPr>
          <w:rFonts w:ascii="Arial" w:hAnsi="Arial" w:cs="Arial"/>
          <w:sz w:val="20"/>
          <w:szCs w:val="20"/>
        </w:rPr>
        <w:t>en 201</w:t>
      </w:r>
      <w:r w:rsidR="00FA495B" w:rsidRPr="00C67C91">
        <w:rPr>
          <w:rFonts w:ascii="Arial" w:hAnsi="Arial" w:cs="Arial"/>
          <w:sz w:val="20"/>
          <w:szCs w:val="20"/>
        </w:rPr>
        <w:t>9</w:t>
      </w:r>
      <w:r w:rsidRPr="00C67C91">
        <w:rPr>
          <w:rFonts w:ascii="Arial" w:hAnsi="Arial" w:cs="Arial"/>
          <w:sz w:val="20"/>
          <w:szCs w:val="20"/>
        </w:rPr>
        <w:t xml:space="preserve">). </w:t>
      </w:r>
    </w:p>
    <w:p w:rsidR="00336822" w:rsidRPr="00C67C91" w:rsidRDefault="00336822" w:rsidP="00B467FA">
      <w:pPr>
        <w:pStyle w:val="CM21"/>
        <w:spacing w:before="120" w:after="120" w:line="260" w:lineRule="exact"/>
        <w:jc w:val="both"/>
        <w:rPr>
          <w:rFonts w:ascii="Arial" w:hAnsi="Arial" w:cs="Arial"/>
          <w:sz w:val="20"/>
          <w:szCs w:val="20"/>
        </w:rPr>
      </w:pPr>
      <w:r w:rsidRPr="00C67C91">
        <w:rPr>
          <w:rFonts w:ascii="Arial" w:hAnsi="Arial" w:cs="Arial"/>
          <w:sz w:val="20"/>
          <w:szCs w:val="20"/>
        </w:rPr>
        <w:t>Las inversiones financieras a corto plazo se corresponden con un depósito realizado en el Registro Mercantil por</w:t>
      </w:r>
      <w:r w:rsidR="003B4D65" w:rsidRPr="00C67C91">
        <w:rPr>
          <w:rFonts w:ascii="Arial" w:hAnsi="Arial" w:cs="Arial"/>
          <w:sz w:val="20"/>
          <w:szCs w:val="20"/>
        </w:rPr>
        <w:t xml:space="preserve"> 154,08 euros</w:t>
      </w:r>
      <w:r w:rsidR="00E45FFA" w:rsidRPr="00C67C91">
        <w:rPr>
          <w:rFonts w:ascii="Arial" w:hAnsi="Arial" w:cs="Arial"/>
          <w:sz w:val="20"/>
          <w:szCs w:val="20"/>
        </w:rPr>
        <w:t xml:space="preserve"> </w:t>
      </w:r>
      <w:r w:rsidRPr="00C67C91">
        <w:rPr>
          <w:rFonts w:ascii="Arial" w:hAnsi="Arial" w:cs="Arial"/>
          <w:sz w:val="20"/>
          <w:szCs w:val="20"/>
        </w:rPr>
        <w:t xml:space="preserve">en </w:t>
      </w:r>
      <w:r w:rsidR="002F7219" w:rsidRPr="00C67C91">
        <w:rPr>
          <w:rFonts w:ascii="Arial" w:hAnsi="Arial" w:cs="Arial"/>
          <w:sz w:val="20"/>
          <w:szCs w:val="20"/>
        </w:rPr>
        <w:t>20</w:t>
      </w:r>
      <w:r w:rsidR="004421E3" w:rsidRPr="00C67C91">
        <w:rPr>
          <w:rFonts w:ascii="Arial" w:hAnsi="Arial" w:cs="Arial"/>
          <w:sz w:val="20"/>
          <w:szCs w:val="20"/>
        </w:rPr>
        <w:t>20</w:t>
      </w:r>
      <w:r w:rsidR="00E45FFA" w:rsidRPr="00C67C91">
        <w:rPr>
          <w:rFonts w:ascii="Arial" w:hAnsi="Arial" w:cs="Arial"/>
          <w:sz w:val="20"/>
          <w:szCs w:val="20"/>
        </w:rPr>
        <w:t xml:space="preserve"> </w:t>
      </w:r>
      <w:r w:rsidRPr="00C67C91">
        <w:rPr>
          <w:rFonts w:ascii="Arial" w:hAnsi="Arial" w:cs="Arial"/>
          <w:sz w:val="20"/>
          <w:szCs w:val="20"/>
        </w:rPr>
        <w:t xml:space="preserve">(154,08 </w:t>
      </w:r>
      <w:r w:rsidR="003B4D65" w:rsidRPr="00C67C91">
        <w:rPr>
          <w:rFonts w:ascii="Arial" w:hAnsi="Arial" w:cs="Arial"/>
          <w:sz w:val="20"/>
          <w:szCs w:val="20"/>
        </w:rPr>
        <w:t>euros</w:t>
      </w:r>
      <w:r w:rsidRPr="00C67C91">
        <w:rPr>
          <w:rFonts w:ascii="Arial" w:hAnsi="Arial" w:cs="Arial"/>
          <w:sz w:val="20"/>
          <w:szCs w:val="20"/>
        </w:rPr>
        <w:t xml:space="preserve"> en 201</w:t>
      </w:r>
      <w:r w:rsidR="00FA495B" w:rsidRPr="00C67C91">
        <w:rPr>
          <w:rFonts w:ascii="Arial" w:hAnsi="Arial" w:cs="Arial"/>
          <w:sz w:val="20"/>
          <w:szCs w:val="20"/>
        </w:rPr>
        <w:t>9</w:t>
      </w:r>
      <w:r w:rsidRPr="00C67C91">
        <w:rPr>
          <w:rFonts w:ascii="Arial" w:hAnsi="Arial" w:cs="Arial"/>
          <w:sz w:val="20"/>
          <w:szCs w:val="20"/>
        </w:rPr>
        <w:t xml:space="preserve">). </w:t>
      </w:r>
    </w:p>
    <w:p w:rsidR="00336822" w:rsidRPr="00CF7B3D" w:rsidRDefault="00CF7B3D" w:rsidP="00B467FA">
      <w:pPr>
        <w:pStyle w:val="CM20"/>
        <w:spacing w:before="120" w:after="120" w:line="260" w:lineRule="exact"/>
        <w:jc w:val="both"/>
        <w:rPr>
          <w:rFonts w:ascii="Arial" w:hAnsi="Arial" w:cs="Arial"/>
          <w:b/>
          <w:sz w:val="20"/>
          <w:szCs w:val="20"/>
        </w:rPr>
      </w:pPr>
      <w:r w:rsidRPr="00CF7B3D">
        <w:rPr>
          <w:rFonts w:ascii="Arial" w:hAnsi="Arial" w:cs="Arial"/>
          <w:b/>
          <w:sz w:val="20"/>
          <w:szCs w:val="20"/>
        </w:rPr>
        <w:t xml:space="preserve">f) </w:t>
      </w:r>
      <w:r w:rsidR="00336822" w:rsidRPr="00CF7B3D">
        <w:rPr>
          <w:rFonts w:ascii="Arial" w:hAnsi="Arial" w:cs="Arial"/>
          <w:b/>
          <w:sz w:val="20"/>
          <w:szCs w:val="20"/>
        </w:rPr>
        <w:t xml:space="preserve">Efectivo y otros activos financieros </w:t>
      </w:r>
    </w:p>
    <w:p w:rsidR="004421E3" w:rsidRPr="00C67C91" w:rsidRDefault="00336822" w:rsidP="00B467FA">
      <w:pPr>
        <w:pStyle w:val="CM25"/>
        <w:spacing w:before="120" w:after="120" w:line="260" w:lineRule="exact"/>
        <w:jc w:val="both"/>
        <w:rPr>
          <w:rFonts w:ascii="Arial" w:hAnsi="Arial" w:cs="Arial"/>
          <w:sz w:val="20"/>
          <w:szCs w:val="20"/>
        </w:rPr>
      </w:pPr>
      <w:r w:rsidRPr="00C67C91">
        <w:rPr>
          <w:rFonts w:ascii="Arial" w:hAnsi="Arial" w:cs="Arial"/>
          <w:sz w:val="20"/>
          <w:szCs w:val="20"/>
        </w:rPr>
        <w:t>El detalle del epígrafe de efectivo y otros activos líquidos equivalentes al cierr</w:t>
      </w:r>
      <w:r w:rsidR="00CF7B3D">
        <w:rPr>
          <w:rFonts w:ascii="Arial" w:hAnsi="Arial" w:cs="Arial"/>
          <w:sz w:val="20"/>
          <w:szCs w:val="20"/>
        </w:rPr>
        <w:t xml:space="preserve">e del ejercicio es como sigue: </w:t>
      </w:r>
    </w:p>
    <w:tbl>
      <w:tblPr>
        <w:tblW w:w="5000" w:type="pct"/>
        <w:jc w:val="center"/>
        <w:tblBorders>
          <w:bottom w:val="single" w:sz="4" w:space="0" w:color="auto"/>
          <w:insideH w:val="single" w:sz="8" w:space="0" w:color="auto"/>
        </w:tblBorders>
        <w:tblCellMar>
          <w:left w:w="70" w:type="dxa"/>
          <w:right w:w="70" w:type="dxa"/>
        </w:tblCellMar>
        <w:tblLook w:val="04A0"/>
      </w:tblPr>
      <w:tblGrid>
        <w:gridCol w:w="3093"/>
        <w:gridCol w:w="2775"/>
        <w:gridCol w:w="2777"/>
      </w:tblGrid>
      <w:tr w:rsidR="00383B30" w:rsidRPr="00C67C91" w:rsidTr="008C2F9C">
        <w:trPr>
          <w:trHeight w:val="283"/>
          <w:jc w:val="center"/>
        </w:trPr>
        <w:tc>
          <w:tcPr>
            <w:tcW w:w="1789" w:type="pct"/>
            <w:tcBorders>
              <w:top w:val="nil"/>
              <w:bottom w:val="single" w:sz="4" w:space="0" w:color="auto"/>
            </w:tcBorders>
            <w:shd w:val="clear" w:color="000000" w:fill="D9D9D9"/>
            <w:noWrap/>
            <w:vAlign w:val="center"/>
            <w:hideMark/>
          </w:tcPr>
          <w:p w:rsidR="00383B30" w:rsidRPr="00C67C91" w:rsidRDefault="00383B30"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Tesorería</w:t>
            </w:r>
          </w:p>
        </w:tc>
        <w:tc>
          <w:tcPr>
            <w:tcW w:w="1605" w:type="pct"/>
            <w:tcBorders>
              <w:top w:val="nil"/>
              <w:bottom w:val="single" w:sz="4" w:space="0" w:color="auto"/>
            </w:tcBorders>
            <w:shd w:val="clear" w:color="000000" w:fill="D9D9D9"/>
            <w:noWrap/>
            <w:vAlign w:val="center"/>
            <w:hideMark/>
          </w:tcPr>
          <w:p w:rsidR="00383B30" w:rsidRPr="00C67C91" w:rsidRDefault="00383B30"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w:t>
            </w:r>
            <w:r w:rsidR="00756F01" w:rsidRPr="00C67C91">
              <w:rPr>
                <w:rFonts w:ascii="Arial" w:hAnsi="Arial" w:cs="Arial"/>
                <w:b/>
                <w:bCs/>
                <w:color w:val="000000"/>
                <w:sz w:val="18"/>
                <w:szCs w:val="18"/>
              </w:rPr>
              <w:t>20</w:t>
            </w:r>
          </w:p>
        </w:tc>
        <w:tc>
          <w:tcPr>
            <w:tcW w:w="1606" w:type="pct"/>
            <w:tcBorders>
              <w:top w:val="nil"/>
              <w:bottom w:val="single" w:sz="4" w:space="0" w:color="auto"/>
            </w:tcBorders>
            <w:shd w:val="clear" w:color="000000" w:fill="D9D9D9"/>
            <w:noWrap/>
            <w:vAlign w:val="center"/>
            <w:hideMark/>
          </w:tcPr>
          <w:p w:rsidR="00383B30" w:rsidRPr="00C67C91" w:rsidRDefault="00756F01"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31/12/2019</w:t>
            </w:r>
          </w:p>
        </w:tc>
      </w:tr>
      <w:tr w:rsidR="00383B30" w:rsidRPr="00C67C91" w:rsidTr="008C2F9C">
        <w:trPr>
          <w:trHeight w:val="283"/>
          <w:jc w:val="center"/>
        </w:trPr>
        <w:tc>
          <w:tcPr>
            <w:tcW w:w="1789" w:type="pct"/>
            <w:tcBorders>
              <w:top w:val="single" w:sz="4" w:space="0" w:color="auto"/>
              <w:bottom w:val="single" w:sz="4" w:space="0" w:color="auto"/>
            </w:tcBorders>
            <w:noWrap/>
            <w:vAlign w:val="center"/>
            <w:hideMark/>
          </w:tcPr>
          <w:p w:rsidR="00383B30" w:rsidRPr="00C67C91" w:rsidRDefault="00BB30C6" w:rsidP="00A02770">
            <w:pPr>
              <w:spacing w:after="0" w:line="240" w:lineRule="auto"/>
              <w:rPr>
                <w:rFonts w:ascii="Arial" w:hAnsi="Arial" w:cs="Arial"/>
                <w:color w:val="000000"/>
                <w:sz w:val="18"/>
                <w:szCs w:val="18"/>
              </w:rPr>
            </w:pPr>
            <w:r w:rsidRPr="00C67C91">
              <w:rPr>
                <w:rFonts w:ascii="Arial" w:hAnsi="Arial" w:cs="Arial"/>
                <w:color w:val="000000"/>
                <w:sz w:val="18"/>
                <w:szCs w:val="18"/>
              </w:rPr>
              <w:t>Cuentas corrientes</w:t>
            </w:r>
          </w:p>
        </w:tc>
        <w:tc>
          <w:tcPr>
            <w:tcW w:w="1605" w:type="pct"/>
            <w:tcBorders>
              <w:top w:val="single" w:sz="4" w:space="0" w:color="auto"/>
              <w:bottom w:val="single" w:sz="4" w:space="0" w:color="auto"/>
            </w:tcBorders>
            <w:noWrap/>
            <w:vAlign w:val="center"/>
          </w:tcPr>
          <w:p w:rsidR="00383B30" w:rsidRPr="00C67C91" w:rsidRDefault="004421E3"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156.055,93</w:t>
            </w:r>
          </w:p>
        </w:tc>
        <w:tc>
          <w:tcPr>
            <w:tcW w:w="1606" w:type="pct"/>
            <w:tcBorders>
              <w:top w:val="single" w:sz="4" w:space="0" w:color="auto"/>
              <w:bottom w:val="single" w:sz="4" w:space="0" w:color="auto"/>
            </w:tcBorders>
            <w:noWrap/>
            <w:vAlign w:val="center"/>
          </w:tcPr>
          <w:p w:rsidR="00383B30" w:rsidRPr="00C67C91" w:rsidRDefault="004421E3"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417.800,00</w:t>
            </w:r>
          </w:p>
        </w:tc>
      </w:tr>
      <w:tr w:rsidR="00BB30C6" w:rsidRPr="00C67C91" w:rsidTr="008C2F9C">
        <w:trPr>
          <w:trHeight w:val="113"/>
          <w:jc w:val="center"/>
        </w:trPr>
        <w:tc>
          <w:tcPr>
            <w:tcW w:w="1789" w:type="pct"/>
            <w:tcBorders>
              <w:top w:val="single" w:sz="4" w:space="0" w:color="auto"/>
              <w:bottom w:val="nil"/>
            </w:tcBorders>
            <w:shd w:val="clear" w:color="auto" w:fill="F2F2F2" w:themeFill="background1" w:themeFillShade="F2"/>
            <w:noWrap/>
            <w:vAlign w:val="center"/>
          </w:tcPr>
          <w:p w:rsidR="00BB30C6" w:rsidRPr="00C67C91" w:rsidRDefault="00BB30C6" w:rsidP="00A02770">
            <w:pPr>
              <w:spacing w:after="0" w:line="240" w:lineRule="auto"/>
              <w:rPr>
                <w:rFonts w:ascii="Arial" w:hAnsi="Arial" w:cs="Arial"/>
                <w:color w:val="000000"/>
                <w:sz w:val="18"/>
                <w:szCs w:val="18"/>
              </w:rPr>
            </w:pPr>
          </w:p>
        </w:tc>
        <w:tc>
          <w:tcPr>
            <w:tcW w:w="1605" w:type="pct"/>
            <w:tcBorders>
              <w:top w:val="single" w:sz="4" w:space="0" w:color="auto"/>
              <w:bottom w:val="nil"/>
            </w:tcBorders>
            <w:shd w:val="clear" w:color="auto" w:fill="F2F2F2" w:themeFill="background1" w:themeFillShade="F2"/>
            <w:noWrap/>
            <w:vAlign w:val="center"/>
          </w:tcPr>
          <w:p w:rsidR="00BB30C6" w:rsidRPr="00C67C91" w:rsidRDefault="00BB30C6" w:rsidP="00A02770">
            <w:pPr>
              <w:spacing w:after="0" w:line="240" w:lineRule="auto"/>
              <w:jc w:val="right"/>
              <w:rPr>
                <w:rFonts w:ascii="Arial" w:hAnsi="Arial" w:cs="Arial"/>
                <w:color w:val="000000"/>
                <w:sz w:val="18"/>
                <w:szCs w:val="18"/>
              </w:rPr>
            </w:pPr>
          </w:p>
        </w:tc>
        <w:tc>
          <w:tcPr>
            <w:tcW w:w="1606" w:type="pct"/>
            <w:tcBorders>
              <w:top w:val="single" w:sz="4" w:space="0" w:color="auto"/>
              <w:bottom w:val="nil"/>
            </w:tcBorders>
            <w:shd w:val="clear" w:color="auto" w:fill="F2F2F2" w:themeFill="background1" w:themeFillShade="F2"/>
            <w:noWrap/>
            <w:vAlign w:val="center"/>
          </w:tcPr>
          <w:p w:rsidR="00BB30C6" w:rsidRPr="00C67C91" w:rsidRDefault="00BB30C6" w:rsidP="00A02770">
            <w:pPr>
              <w:spacing w:after="0" w:line="240" w:lineRule="auto"/>
              <w:jc w:val="right"/>
              <w:rPr>
                <w:rFonts w:ascii="Arial" w:hAnsi="Arial" w:cs="Arial"/>
                <w:color w:val="000000"/>
                <w:sz w:val="18"/>
                <w:szCs w:val="18"/>
              </w:rPr>
            </w:pPr>
          </w:p>
        </w:tc>
      </w:tr>
    </w:tbl>
    <w:p w:rsidR="008C2F9C" w:rsidRDefault="008C2F9C" w:rsidP="00A02770">
      <w:pPr>
        <w:pStyle w:val="Default"/>
        <w:rPr>
          <w:rFonts w:ascii="Arial" w:hAnsi="Arial" w:cs="Arial"/>
          <w:b/>
          <w:sz w:val="20"/>
          <w:szCs w:val="20"/>
        </w:rPr>
      </w:pPr>
    </w:p>
    <w:p w:rsidR="008C2F9C" w:rsidRDefault="008C2F9C">
      <w:pPr>
        <w:rPr>
          <w:rFonts w:ascii="Arial" w:hAnsi="Arial" w:cs="Arial"/>
          <w:b/>
          <w:color w:val="000000"/>
          <w:sz w:val="20"/>
          <w:szCs w:val="20"/>
        </w:rPr>
      </w:pPr>
      <w:r>
        <w:rPr>
          <w:rFonts w:ascii="Arial" w:hAnsi="Arial" w:cs="Arial"/>
          <w:b/>
          <w:sz w:val="20"/>
          <w:szCs w:val="20"/>
        </w:rPr>
        <w:br w:type="page"/>
      </w:r>
    </w:p>
    <w:p w:rsidR="00BB30C6" w:rsidRPr="00203EFC" w:rsidRDefault="00E45FFA" w:rsidP="00203EFC">
      <w:pPr>
        <w:pStyle w:val="CM20"/>
        <w:spacing w:before="240" w:after="120"/>
        <w:ind w:left="284" w:hanging="284"/>
        <w:jc w:val="both"/>
        <w:rPr>
          <w:rFonts w:ascii="Arial" w:hAnsi="Arial" w:cs="Arial"/>
          <w:b/>
          <w:bCs/>
          <w:sz w:val="20"/>
          <w:szCs w:val="20"/>
        </w:rPr>
      </w:pPr>
      <w:r w:rsidRPr="00203EFC">
        <w:rPr>
          <w:rFonts w:ascii="Arial" w:hAnsi="Arial" w:cs="Arial"/>
          <w:b/>
          <w:bCs/>
          <w:sz w:val="20"/>
          <w:szCs w:val="20"/>
        </w:rPr>
        <w:lastRenderedPageBreak/>
        <w:t>6.</w:t>
      </w:r>
      <w:r w:rsidR="002767D9" w:rsidRPr="00203EFC">
        <w:rPr>
          <w:rFonts w:ascii="Arial" w:hAnsi="Arial" w:cs="Arial"/>
          <w:b/>
          <w:bCs/>
          <w:sz w:val="20"/>
          <w:szCs w:val="20"/>
        </w:rPr>
        <w:t xml:space="preserve">- </w:t>
      </w:r>
      <w:r w:rsidRPr="00203EFC">
        <w:rPr>
          <w:rFonts w:ascii="Arial" w:hAnsi="Arial" w:cs="Arial"/>
          <w:b/>
          <w:bCs/>
          <w:sz w:val="20"/>
          <w:szCs w:val="20"/>
        </w:rPr>
        <w:t xml:space="preserve">PASIVOS FINANCIEROS </w:t>
      </w:r>
    </w:p>
    <w:p w:rsidR="004421E3" w:rsidRPr="00C67C91" w:rsidRDefault="00CF32BA" w:rsidP="001D4FE3">
      <w:pPr>
        <w:pStyle w:val="Default"/>
        <w:spacing w:after="160"/>
        <w:jc w:val="both"/>
        <w:rPr>
          <w:rFonts w:ascii="Arial" w:hAnsi="Arial" w:cs="Arial"/>
          <w:sz w:val="20"/>
          <w:szCs w:val="20"/>
        </w:rPr>
      </w:pPr>
      <w:r w:rsidRPr="00C67C91">
        <w:rPr>
          <w:rFonts w:ascii="Arial" w:hAnsi="Arial" w:cs="Arial"/>
          <w:sz w:val="20"/>
          <w:szCs w:val="20"/>
        </w:rPr>
        <w:t>El detalle de pasivos financieros</w:t>
      </w:r>
      <w:r w:rsidR="00E9148E" w:rsidRPr="00C67C91">
        <w:rPr>
          <w:rFonts w:ascii="Arial" w:hAnsi="Arial" w:cs="Arial"/>
          <w:sz w:val="20"/>
          <w:szCs w:val="20"/>
        </w:rPr>
        <w:t xml:space="preserve"> a corto plazo</w:t>
      </w:r>
      <w:r w:rsidRPr="00C67C91">
        <w:rPr>
          <w:rFonts w:ascii="Arial" w:hAnsi="Arial" w:cs="Arial"/>
          <w:sz w:val="20"/>
          <w:szCs w:val="20"/>
        </w:rPr>
        <w:t xml:space="preserve"> a 31 de diciembre de </w:t>
      </w:r>
      <w:r w:rsidR="00FA495B" w:rsidRPr="00C67C91">
        <w:rPr>
          <w:rFonts w:ascii="Arial" w:hAnsi="Arial" w:cs="Arial"/>
          <w:sz w:val="20"/>
          <w:szCs w:val="20"/>
        </w:rPr>
        <w:t>2020 y 2019</w:t>
      </w:r>
      <w:r w:rsidRPr="00C67C91">
        <w:rPr>
          <w:rFonts w:ascii="Arial" w:hAnsi="Arial" w:cs="Arial"/>
          <w:sz w:val="20"/>
          <w:szCs w:val="20"/>
        </w:rPr>
        <w:t xml:space="preserve">, es el siguiente, en euros: </w:t>
      </w:r>
    </w:p>
    <w:tbl>
      <w:tblPr>
        <w:tblW w:w="5000" w:type="pct"/>
        <w:tblCellMar>
          <w:left w:w="70" w:type="dxa"/>
          <w:right w:w="70" w:type="dxa"/>
        </w:tblCellMar>
        <w:tblLook w:val="04A0"/>
      </w:tblPr>
      <w:tblGrid>
        <w:gridCol w:w="3907"/>
        <w:gridCol w:w="2369"/>
        <w:gridCol w:w="2369"/>
      </w:tblGrid>
      <w:tr w:rsidR="004421E3" w:rsidRPr="00C67C91" w:rsidTr="007555F0">
        <w:trPr>
          <w:trHeight w:val="312"/>
        </w:trPr>
        <w:tc>
          <w:tcPr>
            <w:tcW w:w="2260" w:type="pct"/>
            <w:tcBorders>
              <w:top w:val="nil"/>
              <w:left w:val="nil"/>
              <w:bottom w:val="single" w:sz="4" w:space="0" w:color="auto"/>
              <w:right w:val="nil"/>
            </w:tcBorders>
            <w:shd w:val="clear" w:color="000000" w:fill="D9D9D9"/>
            <w:noWrap/>
            <w:vAlign w:val="bottom"/>
            <w:hideMark/>
          </w:tcPr>
          <w:p w:rsidR="004421E3" w:rsidRPr="00C67C91" w:rsidRDefault="004421E3" w:rsidP="001D4FE3">
            <w:pPr>
              <w:spacing w:after="0" w:line="240" w:lineRule="auto"/>
              <w:rPr>
                <w:rFonts w:ascii="Arial" w:hAnsi="Arial" w:cs="Arial"/>
                <w:b/>
                <w:bCs/>
                <w:color w:val="000000"/>
                <w:sz w:val="18"/>
                <w:szCs w:val="18"/>
              </w:rPr>
            </w:pPr>
            <w:r w:rsidRPr="00C67C91">
              <w:rPr>
                <w:rFonts w:ascii="Arial" w:hAnsi="Arial" w:cs="Arial"/>
                <w:b/>
                <w:bCs/>
                <w:color w:val="000000"/>
                <w:sz w:val="18"/>
                <w:szCs w:val="18"/>
              </w:rPr>
              <w:t>Derivados y otros a corto plazo</w:t>
            </w:r>
          </w:p>
        </w:tc>
        <w:tc>
          <w:tcPr>
            <w:tcW w:w="1370" w:type="pct"/>
            <w:tcBorders>
              <w:top w:val="nil"/>
              <w:left w:val="nil"/>
              <w:bottom w:val="single" w:sz="4" w:space="0" w:color="auto"/>
              <w:right w:val="nil"/>
            </w:tcBorders>
            <w:shd w:val="clear" w:color="000000" w:fill="D9D9D9"/>
            <w:noWrap/>
            <w:vAlign w:val="bottom"/>
            <w:hideMark/>
          </w:tcPr>
          <w:p w:rsidR="004421E3" w:rsidRPr="00C67C91" w:rsidRDefault="004421E3" w:rsidP="001D4FE3">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31/12/2020</w:t>
            </w:r>
          </w:p>
        </w:tc>
        <w:tc>
          <w:tcPr>
            <w:tcW w:w="1370" w:type="pct"/>
            <w:tcBorders>
              <w:top w:val="nil"/>
              <w:left w:val="nil"/>
              <w:bottom w:val="single" w:sz="4" w:space="0" w:color="auto"/>
              <w:right w:val="nil"/>
            </w:tcBorders>
            <w:shd w:val="clear" w:color="000000" w:fill="D9D9D9"/>
            <w:noWrap/>
            <w:vAlign w:val="bottom"/>
            <w:hideMark/>
          </w:tcPr>
          <w:p w:rsidR="004421E3" w:rsidRPr="00C67C91" w:rsidRDefault="004421E3" w:rsidP="001D4FE3">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31/12/2019</w:t>
            </w:r>
          </w:p>
        </w:tc>
      </w:tr>
      <w:tr w:rsidR="004421E3" w:rsidRPr="00C67C91" w:rsidTr="007555F0">
        <w:trPr>
          <w:trHeight w:val="283"/>
        </w:trPr>
        <w:tc>
          <w:tcPr>
            <w:tcW w:w="2260" w:type="pct"/>
            <w:tcBorders>
              <w:top w:val="single" w:sz="4" w:space="0" w:color="auto"/>
              <w:left w:val="nil"/>
              <w:bottom w:val="single" w:sz="4" w:space="0" w:color="auto"/>
              <w:right w:val="nil"/>
            </w:tcBorders>
            <w:noWrap/>
            <w:vAlign w:val="center"/>
            <w:hideMark/>
          </w:tcPr>
          <w:p w:rsidR="004421E3" w:rsidRPr="00C67C91" w:rsidRDefault="004421E3" w:rsidP="001D4FE3">
            <w:pPr>
              <w:spacing w:after="0" w:line="240" w:lineRule="auto"/>
              <w:rPr>
                <w:rFonts w:ascii="Arial" w:hAnsi="Arial" w:cs="Arial"/>
                <w:color w:val="000000"/>
                <w:sz w:val="18"/>
                <w:szCs w:val="18"/>
              </w:rPr>
            </w:pPr>
            <w:r w:rsidRPr="00C67C91">
              <w:rPr>
                <w:rFonts w:ascii="Arial" w:hAnsi="Arial" w:cs="Arial"/>
                <w:color w:val="000000"/>
                <w:sz w:val="18"/>
                <w:szCs w:val="18"/>
              </w:rPr>
              <w:t>Débitos y partidas a pagar</w:t>
            </w:r>
          </w:p>
        </w:tc>
        <w:tc>
          <w:tcPr>
            <w:tcW w:w="1370" w:type="pct"/>
            <w:tcBorders>
              <w:top w:val="single" w:sz="4" w:space="0" w:color="auto"/>
              <w:left w:val="nil"/>
              <w:bottom w:val="single" w:sz="4" w:space="0" w:color="auto"/>
              <w:right w:val="nil"/>
            </w:tcBorders>
            <w:noWrap/>
            <w:vAlign w:val="center"/>
            <w:hideMark/>
          </w:tcPr>
          <w:p w:rsidR="004421E3" w:rsidRPr="00C67C91" w:rsidRDefault="00756F01" w:rsidP="001D4FE3">
            <w:pPr>
              <w:spacing w:after="0" w:line="240" w:lineRule="auto"/>
              <w:jc w:val="right"/>
              <w:rPr>
                <w:rFonts w:ascii="Arial" w:hAnsi="Arial" w:cs="Arial"/>
                <w:color w:val="000000"/>
                <w:sz w:val="18"/>
                <w:szCs w:val="18"/>
              </w:rPr>
            </w:pPr>
            <w:r w:rsidRPr="00C67C91">
              <w:rPr>
                <w:rFonts w:ascii="Arial" w:hAnsi="Arial" w:cs="Arial"/>
                <w:color w:val="000000"/>
                <w:sz w:val="18"/>
                <w:szCs w:val="18"/>
              </w:rPr>
              <w:t>1.643.658,19</w:t>
            </w:r>
          </w:p>
        </w:tc>
        <w:tc>
          <w:tcPr>
            <w:tcW w:w="1370" w:type="pct"/>
            <w:tcBorders>
              <w:top w:val="single" w:sz="4" w:space="0" w:color="auto"/>
              <w:left w:val="nil"/>
              <w:bottom w:val="single" w:sz="4" w:space="0" w:color="auto"/>
              <w:right w:val="nil"/>
            </w:tcBorders>
            <w:noWrap/>
            <w:vAlign w:val="center"/>
            <w:hideMark/>
          </w:tcPr>
          <w:p w:rsidR="004421E3" w:rsidRPr="00C67C91" w:rsidRDefault="004421E3" w:rsidP="001D4FE3">
            <w:pPr>
              <w:spacing w:after="0" w:line="240" w:lineRule="auto"/>
              <w:jc w:val="right"/>
              <w:rPr>
                <w:rFonts w:ascii="Arial" w:hAnsi="Arial" w:cs="Arial"/>
                <w:color w:val="000000"/>
                <w:sz w:val="18"/>
                <w:szCs w:val="18"/>
              </w:rPr>
            </w:pPr>
            <w:r w:rsidRPr="00C67C91">
              <w:rPr>
                <w:rFonts w:ascii="Arial" w:hAnsi="Arial" w:cs="Arial"/>
                <w:color w:val="000000"/>
                <w:sz w:val="18"/>
                <w:szCs w:val="18"/>
              </w:rPr>
              <w:t>878.715,44</w:t>
            </w:r>
          </w:p>
        </w:tc>
      </w:tr>
      <w:tr w:rsidR="004421E3" w:rsidRPr="00C67C91" w:rsidTr="007555F0">
        <w:trPr>
          <w:trHeight w:val="283"/>
        </w:trPr>
        <w:tc>
          <w:tcPr>
            <w:tcW w:w="2260" w:type="pct"/>
            <w:tcBorders>
              <w:top w:val="single" w:sz="4" w:space="0" w:color="auto"/>
              <w:left w:val="nil"/>
              <w:bottom w:val="single" w:sz="4" w:space="0" w:color="auto"/>
              <w:right w:val="nil"/>
            </w:tcBorders>
            <w:shd w:val="clear" w:color="auto" w:fill="F2F2F2" w:themeFill="background1" w:themeFillShade="F2"/>
            <w:noWrap/>
            <w:vAlign w:val="center"/>
            <w:hideMark/>
          </w:tcPr>
          <w:p w:rsidR="004421E3" w:rsidRPr="00C67C91" w:rsidRDefault="004421E3" w:rsidP="001D4FE3">
            <w:pPr>
              <w:spacing w:after="0" w:line="240" w:lineRule="auto"/>
              <w:rPr>
                <w:rFonts w:ascii="Arial" w:hAnsi="Arial" w:cs="Arial"/>
                <w:b/>
                <w:bCs/>
                <w:color w:val="000000"/>
                <w:sz w:val="18"/>
                <w:szCs w:val="18"/>
              </w:rPr>
            </w:pPr>
            <w:r w:rsidRPr="00C67C91">
              <w:rPr>
                <w:rFonts w:ascii="Arial" w:hAnsi="Arial" w:cs="Arial"/>
                <w:b/>
                <w:bCs/>
                <w:color w:val="000000"/>
                <w:sz w:val="18"/>
                <w:szCs w:val="18"/>
              </w:rPr>
              <w:t>Total</w:t>
            </w:r>
          </w:p>
        </w:tc>
        <w:tc>
          <w:tcPr>
            <w:tcW w:w="1370" w:type="pct"/>
            <w:tcBorders>
              <w:top w:val="single" w:sz="4" w:space="0" w:color="auto"/>
              <w:left w:val="nil"/>
              <w:bottom w:val="single" w:sz="4" w:space="0" w:color="auto"/>
              <w:right w:val="nil"/>
            </w:tcBorders>
            <w:shd w:val="clear" w:color="auto" w:fill="F2F2F2" w:themeFill="background1" w:themeFillShade="F2"/>
            <w:noWrap/>
            <w:vAlign w:val="center"/>
            <w:hideMark/>
          </w:tcPr>
          <w:p w:rsidR="004421E3" w:rsidRPr="00C67C91" w:rsidRDefault="00F2792E" w:rsidP="001D4FE3">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1.643.658,19</w:t>
            </w:r>
          </w:p>
        </w:tc>
        <w:tc>
          <w:tcPr>
            <w:tcW w:w="1370" w:type="pct"/>
            <w:tcBorders>
              <w:top w:val="single" w:sz="4" w:space="0" w:color="auto"/>
              <w:left w:val="nil"/>
              <w:bottom w:val="single" w:sz="4" w:space="0" w:color="auto"/>
              <w:right w:val="nil"/>
            </w:tcBorders>
            <w:shd w:val="clear" w:color="auto" w:fill="F2F2F2" w:themeFill="background1" w:themeFillShade="F2"/>
            <w:noWrap/>
            <w:vAlign w:val="center"/>
            <w:hideMark/>
          </w:tcPr>
          <w:p w:rsidR="004421E3" w:rsidRPr="00C67C91" w:rsidRDefault="004421E3" w:rsidP="001D4FE3">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878.715,44</w:t>
            </w:r>
          </w:p>
        </w:tc>
      </w:tr>
    </w:tbl>
    <w:p w:rsidR="00E9148E" w:rsidRPr="00C67C91" w:rsidRDefault="00573FE6" w:rsidP="001D4FE3">
      <w:pPr>
        <w:keepNext/>
        <w:keepLines/>
        <w:spacing w:before="240" w:after="100" w:afterAutospacing="1" w:line="240" w:lineRule="auto"/>
        <w:jc w:val="both"/>
        <w:rPr>
          <w:rFonts w:ascii="Arial" w:hAnsi="Arial" w:cs="Arial"/>
          <w:bCs/>
          <w:sz w:val="20"/>
          <w:szCs w:val="20"/>
        </w:rPr>
      </w:pPr>
      <w:r w:rsidRPr="00C67C91">
        <w:rPr>
          <w:rFonts w:ascii="Arial" w:hAnsi="Arial" w:cs="Arial"/>
          <w:bCs/>
          <w:sz w:val="20"/>
          <w:szCs w:val="20"/>
        </w:rPr>
        <w:t xml:space="preserve">El </w:t>
      </w:r>
      <w:r w:rsidR="00E9148E" w:rsidRPr="00C67C91">
        <w:rPr>
          <w:rFonts w:ascii="Arial" w:hAnsi="Arial" w:cs="Arial"/>
          <w:bCs/>
          <w:sz w:val="20"/>
          <w:szCs w:val="20"/>
        </w:rPr>
        <w:t>detalle de débitos y partidas a pagar</w:t>
      </w:r>
      <w:r w:rsidR="00E9148E" w:rsidRPr="00C67C91">
        <w:rPr>
          <w:rFonts w:ascii="Arial" w:hAnsi="Arial" w:cs="Arial"/>
          <w:sz w:val="20"/>
          <w:szCs w:val="20"/>
        </w:rPr>
        <w:t xml:space="preserve"> a 31 de diciembre de </w:t>
      </w:r>
      <w:r w:rsidR="00FA495B" w:rsidRPr="00C67C91">
        <w:rPr>
          <w:rFonts w:ascii="Arial" w:hAnsi="Arial" w:cs="Arial"/>
          <w:sz w:val="20"/>
          <w:szCs w:val="20"/>
        </w:rPr>
        <w:t>2020 y 2019</w:t>
      </w:r>
      <w:r w:rsidR="00E9148E" w:rsidRPr="00C67C91">
        <w:rPr>
          <w:rFonts w:ascii="Arial" w:hAnsi="Arial" w:cs="Arial"/>
          <w:sz w:val="20"/>
          <w:szCs w:val="20"/>
        </w:rPr>
        <w:t xml:space="preserve"> se indica a continuación, en euros:</w:t>
      </w:r>
    </w:p>
    <w:tbl>
      <w:tblPr>
        <w:tblW w:w="5000" w:type="pct"/>
        <w:tblCellMar>
          <w:left w:w="70" w:type="dxa"/>
          <w:right w:w="70" w:type="dxa"/>
        </w:tblCellMar>
        <w:tblLook w:val="04A0"/>
      </w:tblPr>
      <w:tblGrid>
        <w:gridCol w:w="5405"/>
        <w:gridCol w:w="1729"/>
        <w:gridCol w:w="1511"/>
      </w:tblGrid>
      <w:tr w:rsidR="0006176A" w:rsidRPr="00C67C91" w:rsidTr="007555F0">
        <w:trPr>
          <w:trHeight w:val="283"/>
        </w:trPr>
        <w:tc>
          <w:tcPr>
            <w:tcW w:w="3126" w:type="pct"/>
            <w:tcBorders>
              <w:top w:val="nil"/>
              <w:left w:val="nil"/>
              <w:bottom w:val="single" w:sz="4" w:space="0" w:color="auto"/>
              <w:right w:val="nil"/>
            </w:tcBorders>
            <w:shd w:val="clear" w:color="000000" w:fill="D9D9D9"/>
            <w:vAlign w:val="bottom"/>
            <w:hideMark/>
          </w:tcPr>
          <w:p w:rsidR="0006176A" w:rsidRPr="00C67C91" w:rsidRDefault="0006176A" w:rsidP="00983E01">
            <w:pPr>
              <w:spacing w:after="0" w:line="240" w:lineRule="auto"/>
              <w:rPr>
                <w:rFonts w:ascii="Arial" w:hAnsi="Arial" w:cs="Arial"/>
                <w:color w:val="000000"/>
              </w:rPr>
            </w:pPr>
            <w:r w:rsidRPr="00C67C91">
              <w:rPr>
                <w:rFonts w:ascii="Arial" w:hAnsi="Arial" w:cs="Arial"/>
                <w:color w:val="000000"/>
              </w:rPr>
              <w:t> </w:t>
            </w:r>
          </w:p>
        </w:tc>
        <w:tc>
          <w:tcPr>
            <w:tcW w:w="1000" w:type="pct"/>
            <w:tcBorders>
              <w:top w:val="nil"/>
              <w:left w:val="nil"/>
              <w:bottom w:val="single" w:sz="4" w:space="0" w:color="auto"/>
              <w:right w:val="nil"/>
            </w:tcBorders>
            <w:shd w:val="clear" w:color="000000" w:fill="D9D9D9"/>
            <w:noWrap/>
            <w:vAlign w:val="bottom"/>
            <w:hideMark/>
          </w:tcPr>
          <w:p w:rsidR="0006176A" w:rsidRPr="00C67C91" w:rsidRDefault="0006176A" w:rsidP="00983E01">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31/12/2020</w:t>
            </w:r>
          </w:p>
        </w:tc>
        <w:tc>
          <w:tcPr>
            <w:tcW w:w="874" w:type="pct"/>
            <w:tcBorders>
              <w:top w:val="nil"/>
              <w:left w:val="nil"/>
              <w:bottom w:val="single" w:sz="4" w:space="0" w:color="auto"/>
              <w:right w:val="nil"/>
            </w:tcBorders>
            <w:shd w:val="clear" w:color="000000" w:fill="D9D9D9"/>
            <w:noWrap/>
            <w:vAlign w:val="bottom"/>
            <w:hideMark/>
          </w:tcPr>
          <w:p w:rsidR="0006176A" w:rsidRPr="00C67C91" w:rsidRDefault="0006176A" w:rsidP="00983E01">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31/12/2019</w:t>
            </w:r>
          </w:p>
        </w:tc>
      </w:tr>
      <w:tr w:rsidR="0006176A" w:rsidRPr="00C67C91" w:rsidTr="007555F0">
        <w:trPr>
          <w:trHeight w:val="283"/>
        </w:trPr>
        <w:tc>
          <w:tcPr>
            <w:tcW w:w="3126" w:type="pct"/>
            <w:tcBorders>
              <w:top w:val="single" w:sz="4" w:space="0" w:color="auto"/>
              <w:left w:val="nil"/>
              <w:bottom w:val="nil"/>
              <w:right w:val="nil"/>
            </w:tcBorders>
            <w:shd w:val="clear" w:color="000000" w:fill="F2F2F2"/>
            <w:vAlign w:val="center"/>
            <w:hideMark/>
          </w:tcPr>
          <w:p w:rsidR="0006176A" w:rsidRPr="00C67C91" w:rsidRDefault="0006176A" w:rsidP="00983E01">
            <w:pPr>
              <w:spacing w:after="0" w:line="240" w:lineRule="auto"/>
              <w:rPr>
                <w:rFonts w:ascii="Arial" w:hAnsi="Arial" w:cs="Arial"/>
                <w:b/>
                <w:bCs/>
                <w:color w:val="000000"/>
                <w:sz w:val="18"/>
                <w:szCs w:val="18"/>
                <w:u w:val="single"/>
              </w:rPr>
            </w:pPr>
            <w:r w:rsidRPr="00C67C91">
              <w:rPr>
                <w:rFonts w:ascii="Arial" w:hAnsi="Arial" w:cs="Arial"/>
                <w:b/>
                <w:bCs/>
                <w:color w:val="000000"/>
                <w:sz w:val="18"/>
                <w:szCs w:val="18"/>
                <w:u w:val="single"/>
              </w:rPr>
              <w:t>Por operaciones comerciales:</w:t>
            </w:r>
          </w:p>
        </w:tc>
        <w:tc>
          <w:tcPr>
            <w:tcW w:w="1000" w:type="pct"/>
            <w:tcBorders>
              <w:top w:val="single" w:sz="4" w:space="0" w:color="auto"/>
              <w:left w:val="nil"/>
              <w:bottom w:val="nil"/>
              <w:right w:val="nil"/>
            </w:tcBorders>
            <w:shd w:val="clear" w:color="000000" w:fill="F2F2F2"/>
            <w:vAlign w:val="center"/>
            <w:hideMark/>
          </w:tcPr>
          <w:p w:rsidR="0006176A" w:rsidRPr="00C67C91" w:rsidRDefault="0006176A" w:rsidP="00983E01">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 </w:t>
            </w:r>
          </w:p>
        </w:tc>
        <w:tc>
          <w:tcPr>
            <w:tcW w:w="874" w:type="pct"/>
            <w:tcBorders>
              <w:top w:val="single" w:sz="4" w:space="0" w:color="auto"/>
              <w:left w:val="nil"/>
              <w:bottom w:val="nil"/>
              <w:right w:val="nil"/>
            </w:tcBorders>
            <w:shd w:val="clear" w:color="000000" w:fill="F2F2F2"/>
            <w:vAlign w:val="center"/>
            <w:hideMark/>
          </w:tcPr>
          <w:p w:rsidR="0006176A" w:rsidRPr="00C67C91" w:rsidRDefault="0006176A" w:rsidP="00983E01">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 </w:t>
            </w:r>
          </w:p>
        </w:tc>
      </w:tr>
      <w:tr w:rsidR="00983E01" w:rsidRPr="00C67C91" w:rsidTr="00983E01">
        <w:trPr>
          <w:trHeight w:val="283"/>
        </w:trPr>
        <w:tc>
          <w:tcPr>
            <w:tcW w:w="3126" w:type="pct"/>
            <w:tcBorders>
              <w:top w:val="nil"/>
              <w:left w:val="nil"/>
              <w:bottom w:val="nil"/>
              <w:right w:val="nil"/>
            </w:tcBorders>
            <w:vAlign w:val="center"/>
            <w:hideMark/>
          </w:tcPr>
          <w:p w:rsidR="00983E01" w:rsidRPr="00C67C91" w:rsidRDefault="00983E01" w:rsidP="00983E01">
            <w:pPr>
              <w:spacing w:after="0" w:line="240" w:lineRule="auto"/>
              <w:rPr>
                <w:rFonts w:ascii="Arial" w:hAnsi="Arial" w:cs="Arial"/>
                <w:color w:val="000000"/>
                <w:sz w:val="18"/>
                <w:szCs w:val="18"/>
              </w:rPr>
            </w:pPr>
            <w:r w:rsidRPr="00C67C91">
              <w:rPr>
                <w:rFonts w:ascii="Arial" w:hAnsi="Arial" w:cs="Arial"/>
                <w:color w:val="000000"/>
                <w:sz w:val="18"/>
                <w:szCs w:val="18"/>
              </w:rPr>
              <w:t>Acreedores</w:t>
            </w:r>
          </w:p>
        </w:tc>
        <w:tc>
          <w:tcPr>
            <w:tcW w:w="1000" w:type="pct"/>
            <w:tcBorders>
              <w:top w:val="nil"/>
              <w:left w:val="nil"/>
              <w:bottom w:val="nil"/>
              <w:right w:val="nil"/>
            </w:tcBorders>
            <w:vAlign w:val="center"/>
            <w:hideMark/>
          </w:tcPr>
          <w:p w:rsidR="00983E01" w:rsidRDefault="00983E01" w:rsidP="00983E01">
            <w:pPr>
              <w:spacing w:after="0" w:line="240" w:lineRule="auto"/>
              <w:jc w:val="right"/>
              <w:rPr>
                <w:rFonts w:ascii="Arial" w:hAnsi="Arial" w:cs="Arial"/>
                <w:color w:val="000000"/>
                <w:sz w:val="18"/>
                <w:szCs w:val="18"/>
              </w:rPr>
            </w:pPr>
            <w:r>
              <w:rPr>
                <w:rFonts w:ascii="Arial" w:hAnsi="Arial" w:cs="Arial"/>
                <w:color w:val="000000"/>
                <w:sz w:val="18"/>
                <w:szCs w:val="18"/>
              </w:rPr>
              <w:t>1.291.690,50</w:t>
            </w:r>
          </w:p>
        </w:tc>
        <w:tc>
          <w:tcPr>
            <w:tcW w:w="874" w:type="pct"/>
            <w:tcBorders>
              <w:top w:val="nil"/>
              <w:left w:val="nil"/>
              <w:bottom w:val="nil"/>
              <w:right w:val="nil"/>
            </w:tcBorders>
            <w:vAlign w:val="center"/>
            <w:hideMark/>
          </w:tcPr>
          <w:p w:rsidR="00983E01" w:rsidRPr="00C67C91" w:rsidRDefault="00983E01" w:rsidP="00983E01">
            <w:pPr>
              <w:spacing w:after="0" w:line="240" w:lineRule="auto"/>
              <w:jc w:val="right"/>
              <w:rPr>
                <w:rFonts w:ascii="Arial" w:hAnsi="Arial" w:cs="Arial"/>
                <w:color w:val="000000"/>
                <w:sz w:val="18"/>
                <w:szCs w:val="18"/>
              </w:rPr>
            </w:pPr>
            <w:r w:rsidRPr="00C67C91">
              <w:rPr>
                <w:rFonts w:ascii="Arial" w:hAnsi="Arial" w:cs="Arial"/>
                <w:color w:val="000000"/>
                <w:sz w:val="18"/>
                <w:szCs w:val="18"/>
              </w:rPr>
              <w:t>526.202,34</w:t>
            </w:r>
          </w:p>
        </w:tc>
      </w:tr>
      <w:tr w:rsidR="00983E01" w:rsidRPr="00C67C91" w:rsidTr="00983E01">
        <w:trPr>
          <w:trHeight w:val="283"/>
        </w:trPr>
        <w:tc>
          <w:tcPr>
            <w:tcW w:w="3126" w:type="pct"/>
            <w:tcBorders>
              <w:top w:val="nil"/>
              <w:left w:val="nil"/>
              <w:bottom w:val="nil"/>
              <w:right w:val="nil"/>
            </w:tcBorders>
            <w:vAlign w:val="center"/>
            <w:hideMark/>
          </w:tcPr>
          <w:p w:rsidR="00983E01" w:rsidRDefault="00983E01" w:rsidP="00983E01">
            <w:pPr>
              <w:spacing w:after="0"/>
              <w:rPr>
                <w:rFonts w:ascii="Arial" w:hAnsi="Arial" w:cs="Arial"/>
                <w:color w:val="000000"/>
                <w:sz w:val="18"/>
                <w:szCs w:val="18"/>
              </w:rPr>
            </w:pPr>
            <w:r>
              <w:rPr>
                <w:rFonts w:ascii="Arial" w:hAnsi="Arial" w:cs="Arial"/>
                <w:color w:val="000000"/>
                <w:sz w:val="18"/>
                <w:szCs w:val="18"/>
              </w:rPr>
              <w:t>Acreedores empresa del grupo (Nota 9)</w:t>
            </w:r>
          </w:p>
        </w:tc>
        <w:tc>
          <w:tcPr>
            <w:tcW w:w="1000" w:type="pct"/>
            <w:tcBorders>
              <w:top w:val="nil"/>
              <w:left w:val="nil"/>
              <w:bottom w:val="nil"/>
              <w:right w:val="nil"/>
            </w:tcBorders>
            <w:vAlign w:val="center"/>
            <w:hideMark/>
          </w:tcPr>
          <w:p w:rsidR="00983E01" w:rsidRDefault="00983E01" w:rsidP="00983E01">
            <w:pPr>
              <w:spacing w:after="0" w:line="240" w:lineRule="auto"/>
              <w:jc w:val="right"/>
              <w:rPr>
                <w:rFonts w:ascii="Arial" w:hAnsi="Arial" w:cs="Arial"/>
                <w:color w:val="000000"/>
                <w:sz w:val="18"/>
                <w:szCs w:val="18"/>
              </w:rPr>
            </w:pPr>
            <w:r>
              <w:rPr>
                <w:rFonts w:ascii="Arial" w:hAnsi="Arial" w:cs="Arial"/>
                <w:color w:val="000000"/>
                <w:sz w:val="18"/>
                <w:szCs w:val="18"/>
              </w:rPr>
              <w:t>278.509,09</w:t>
            </w:r>
          </w:p>
        </w:tc>
        <w:tc>
          <w:tcPr>
            <w:tcW w:w="874" w:type="pct"/>
            <w:tcBorders>
              <w:top w:val="nil"/>
              <w:left w:val="nil"/>
              <w:bottom w:val="nil"/>
              <w:right w:val="nil"/>
            </w:tcBorders>
            <w:vAlign w:val="center"/>
            <w:hideMark/>
          </w:tcPr>
          <w:p w:rsidR="00983E01" w:rsidRPr="00C67C91" w:rsidRDefault="00983E01" w:rsidP="00983E01">
            <w:pPr>
              <w:spacing w:after="0" w:line="240" w:lineRule="auto"/>
              <w:jc w:val="right"/>
              <w:rPr>
                <w:rFonts w:ascii="Arial" w:hAnsi="Arial" w:cs="Arial"/>
                <w:color w:val="000000"/>
                <w:sz w:val="18"/>
                <w:szCs w:val="18"/>
              </w:rPr>
            </w:pPr>
            <w:r w:rsidRPr="00C67C91">
              <w:rPr>
                <w:rFonts w:ascii="Arial" w:hAnsi="Arial" w:cs="Arial"/>
                <w:color w:val="000000"/>
                <w:sz w:val="18"/>
                <w:szCs w:val="18"/>
              </w:rPr>
              <w:t>284.819,89</w:t>
            </w:r>
          </w:p>
        </w:tc>
      </w:tr>
      <w:tr w:rsidR="00983E01" w:rsidRPr="00C67C91" w:rsidTr="00983E01">
        <w:trPr>
          <w:trHeight w:val="283"/>
        </w:trPr>
        <w:tc>
          <w:tcPr>
            <w:tcW w:w="3126" w:type="pct"/>
            <w:tcBorders>
              <w:top w:val="nil"/>
              <w:left w:val="nil"/>
              <w:bottom w:val="nil"/>
              <w:right w:val="nil"/>
            </w:tcBorders>
            <w:vAlign w:val="center"/>
          </w:tcPr>
          <w:p w:rsidR="00983E01" w:rsidRDefault="00983E01" w:rsidP="00983E01">
            <w:pPr>
              <w:spacing w:after="0"/>
              <w:rPr>
                <w:rFonts w:ascii="Arial" w:hAnsi="Arial" w:cs="Arial"/>
                <w:color w:val="000000"/>
                <w:sz w:val="18"/>
                <w:szCs w:val="18"/>
              </w:rPr>
            </w:pPr>
            <w:r>
              <w:rPr>
                <w:rFonts w:ascii="Arial" w:hAnsi="Arial" w:cs="Arial"/>
                <w:color w:val="000000"/>
                <w:sz w:val="18"/>
                <w:szCs w:val="18"/>
              </w:rPr>
              <w:t xml:space="preserve">Acreedores, Eª del grupo, facturas </w:t>
            </w:r>
            <w:proofErr w:type="spellStart"/>
            <w:r>
              <w:rPr>
                <w:rFonts w:ascii="Arial" w:hAnsi="Arial" w:cs="Arial"/>
                <w:color w:val="000000"/>
                <w:sz w:val="18"/>
                <w:szCs w:val="18"/>
              </w:rPr>
              <w:t>pdtes.recibir</w:t>
            </w:r>
            <w:proofErr w:type="spellEnd"/>
            <w:r>
              <w:rPr>
                <w:rFonts w:ascii="Arial" w:hAnsi="Arial" w:cs="Arial"/>
                <w:color w:val="000000"/>
                <w:sz w:val="18"/>
                <w:szCs w:val="18"/>
              </w:rPr>
              <w:t xml:space="preserve"> (Nota 9)</w:t>
            </w:r>
          </w:p>
        </w:tc>
        <w:tc>
          <w:tcPr>
            <w:tcW w:w="1000" w:type="pct"/>
            <w:tcBorders>
              <w:top w:val="nil"/>
              <w:left w:val="nil"/>
              <w:bottom w:val="nil"/>
              <w:right w:val="nil"/>
            </w:tcBorders>
            <w:vAlign w:val="center"/>
          </w:tcPr>
          <w:p w:rsidR="00983E01" w:rsidRDefault="00983E01" w:rsidP="00983E01">
            <w:pPr>
              <w:spacing w:after="0" w:line="240" w:lineRule="auto"/>
              <w:jc w:val="right"/>
              <w:rPr>
                <w:rFonts w:ascii="Arial" w:hAnsi="Arial" w:cs="Arial"/>
                <w:color w:val="000000"/>
                <w:sz w:val="18"/>
                <w:szCs w:val="18"/>
              </w:rPr>
            </w:pPr>
            <w:r>
              <w:rPr>
                <w:rFonts w:ascii="Arial" w:hAnsi="Arial" w:cs="Arial"/>
                <w:color w:val="000000"/>
                <w:sz w:val="18"/>
                <w:szCs w:val="18"/>
              </w:rPr>
              <w:t>5.765,39</w:t>
            </w:r>
          </w:p>
        </w:tc>
        <w:tc>
          <w:tcPr>
            <w:tcW w:w="874" w:type="pct"/>
            <w:tcBorders>
              <w:top w:val="nil"/>
              <w:left w:val="nil"/>
              <w:bottom w:val="nil"/>
              <w:right w:val="nil"/>
            </w:tcBorders>
            <w:vAlign w:val="center"/>
          </w:tcPr>
          <w:p w:rsidR="00983E01" w:rsidRPr="00C67C91" w:rsidRDefault="00983E01" w:rsidP="00983E01">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983E01" w:rsidRPr="00C67C91" w:rsidTr="00983E01">
        <w:trPr>
          <w:trHeight w:val="283"/>
        </w:trPr>
        <w:tc>
          <w:tcPr>
            <w:tcW w:w="3126" w:type="pct"/>
            <w:tcBorders>
              <w:top w:val="nil"/>
              <w:left w:val="nil"/>
              <w:bottom w:val="nil"/>
              <w:right w:val="nil"/>
            </w:tcBorders>
            <w:shd w:val="clear" w:color="000000" w:fill="F2F2F2"/>
            <w:vAlign w:val="center"/>
            <w:hideMark/>
          </w:tcPr>
          <w:p w:rsidR="00983E01" w:rsidRDefault="00983E01" w:rsidP="00983E01">
            <w:pPr>
              <w:spacing w:after="0"/>
              <w:rPr>
                <w:rFonts w:ascii="Arial" w:hAnsi="Arial" w:cs="Arial"/>
                <w:b/>
                <w:bCs/>
                <w:color w:val="000000"/>
                <w:sz w:val="18"/>
                <w:szCs w:val="18"/>
              </w:rPr>
            </w:pPr>
            <w:r>
              <w:rPr>
                <w:rFonts w:ascii="Arial" w:hAnsi="Arial" w:cs="Arial"/>
                <w:b/>
                <w:bCs/>
                <w:color w:val="000000"/>
                <w:sz w:val="18"/>
                <w:szCs w:val="18"/>
              </w:rPr>
              <w:t xml:space="preserve">Total saldos por </w:t>
            </w:r>
            <w:proofErr w:type="spellStart"/>
            <w:r>
              <w:rPr>
                <w:rFonts w:ascii="Arial" w:hAnsi="Arial" w:cs="Arial"/>
                <w:b/>
                <w:bCs/>
                <w:color w:val="000000"/>
                <w:sz w:val="18"/>
                <w:szCs w:val="18"/>
              </w:rPr>
              <w:t>op</w:t>
            </w:r>
            <w:proofErr w:type="spellEnd"/>
            <w:r>
              <w:rPr>
                <w:rFonts w:ascii="Arial" w:hAnsi="Arial" w:cs="Arial"/>
                <w:b/>
                <w:bCs/>
                <w:color w:val="000000"/>
                <w:sz w:val="18"/>
                <w:szCs w:val="18"/>
              </w:rPr>
              <w:t xml:space="preserve">. Comerciales </w:t>
            </w:r>
          </w:p>
        </w:tc>
        <w:tc>
          <w:tcPr>
            <w:tcW w:w="1000" w:type="pct"/>
            <w:tcBorders>
              <w:top w:val="nil"/>
              <w:left w:val="nil"/>
              <w:bottom w:val="nil"/>
              <w:right w:val="nil"/>
            </w:tcBorders>
            <w:shd w:val="clear" w:color="000000" w:fill="F2F2F2"/>
            <w:vAlign w:val="center"/>
            <w:hideMark/>
          </w:tcPr>
          <w:p w:rsidR="00983E01" w:rsidRDefault="00983E01" w:rsidP="00983E01">
            <w:pPr>
              <w:spacing w:after="0" w:line="240" w:lineRule="auto"/>
              <w:jc w:val="right"/>
              <w:rPr>
                <w:rFonts w:ascii="Arial" w:hAnsi="Arial" w:cs="Arial"/>
                <w:b/>
                <w:bCs/>
                <w:color w:val="000000"/>
                <w:sz w:val="18"/>
                <w:szCs w:val="18"/>
              </w:rPr>
            </w:pPr>
            <w:r>
              <w:rPr>
                <w:rFonts w:ascii="Arial" w:hAnsi="Arial" w:cs="Arial"/>
                <w:b/>
                <w:bCs/>
                <w:color w:val="000000"/>
                <w:sz w:val="18"/>
                <w:szCs w:val="18"/>
              </w:rPr>
              <w:t>1.575.964,98</w:t>
            </w:r>
          </w:p>
        </w:tc>
        <w:tc>
          <w:tcPr>
            <w:tcW w:w="874" w:type="pct"/>
            <w:tcBorders>
              <w:top w:val="nil"/>
              <w:left w:val="nil"/>
              <w:bottom w:val="nil"/>
              <w:right w:val="nil"/>
            </w:tcBorders>
            <w:shd w:val="clear" w:color="000000" w:fill="F2F2F2"/>
            <w:vAlign w:val="center"/>
            <w:hideMark/>
          </w:tcPr>
          <w:p w:rsidR="00983E01" w:rsidRPr="00C67C91" w:rsidRDefault="00983E01" w:rsidP="00983E01">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811.022,23</w:t>
            </w:r>
          </w:p>
        </w:tc>
      </w:tr>
      <w:tr w:rsidR="0006176A" w:rsidRPr="00C67C91" w:rsidTr="00983E01">
        <w:trPr>
          <w:trHeight w:val="170"/>
        </w:trPr>
        <w:tc>
          <w:tcPr>
            <w:tcW w:w="3126" w:type="pct"/>
            <w:tcBorders>
              <w:top w:val="nil"/>
              <w:left w:val="nil"/>
              <w:bottom w:val="nil"/>
              <w:right w:val="nil"/>
            </w:tcBorders>
            <w:vAlign w:val="center"/>
            <w:hideMark/>
          </w:tcPr>
          <w:p w:rsidR="0006176A" w:rsidRPr="001D4FE3" w:rsidRDefault="0006176A" w:rsidP="00983E01">
            <w:pPr>
              <w:spacing w:after="0" w:line="240" w:lineRule="auto"/>
              <w:jc w:val="right"/>
              <w:rPr>
                <w:rFonts w:ascii="Arial" w:hAnsi="Arial" w:cs="Arial"/>
                <w:b/>
                <w:bCs/>
                <w:color w:val="000000"/>
                <w:sz w:val="8"/>
                <w:szCs w:val="8"/>
              </w:rPr>
            </w:pPr>
          </w:p>
        </w:tc>
        <w:tc>
          <w:tcPr>
            <w:tcW w:w="1000" w:type="pct"/>
            <w:tcBorders>
              <w:top w:val="nil"/>
              <w:left w:val="nil"/>
              <w:bottom w:val="nil"/>
              <w:right w:val="nil"/>
            </w:tcBorders>
            <w:vAlign w:val="center"/>
            <w:hideMark/>
          </w:tcPr>
          <w:p w:rsidR="0006176A" w:rsidRPr="001D4FE3" w:rsidRDefault="0006176A" w:rsidP="00983E01">
            <w:pPr>
              <w:spacing w:after="0" w:line="240" w:lineRule="auto"/>
              <w:jc w:val="right"/>
              <w:rPr>
                <w:rFonts w:ascii="Arial" w:hAnsi="Arial" w:cs="Arial"/>
                <w:sz w:val="8"/>
                <w:szCs w:val="8"/>
              </w:rPr>
            </w:pPr>
          </w:p>
        </w:tc>
        <w:tc>
          <w:tcPr>
            <w:tcW w:w="874" w:type="pct"/>
            <w:tcBorders>
              <w:top w:val="nil"/>
              <w:left w:val="nil"/>
              <w:bottom w:val="nil"/>
              <w:right w:val="nil"/>
            </w:tcBorders>
            <w:vAlign w:val="center"/>
            <w:hideMark/>
          </w:tcPr>
          <w:p w:rsidR="0006176A" w:rsidRPr="001D4FE3" w:rsidRDefault="0006176A" w:rsidP="00983E01">
            <w:pPr>
              <w:spacing w:after="0" w:line="240" w:lineRule="auto"/>
              <w:jc w:val="right"/>
              <w:rPr>
                <w:rFonts w:ascii="Arial" w:hAnsi="Arial" w:cs="Arial"/>
                <w:sz w:val="8"/>
                <w:szCs w:val="8"/>
              </w:rPr>
            </w:pPr>
          </w:p>
        </w:tc>
      </w:tr>
      <w:tr w:rsidR="0006176A" w:rsidRPr="00C67C91" w:rsidTr="00983E01">
        <w:trPr>
          <w:trHeight w:val="283"/>
        </w:trPr>
        <w:tc>
          <w:tcPr>
            <w:tcW w:w="3126" w:type="pct"/>
            <w:tcBorders>
              <w:top w:val="nil"/>
              <w:left w:val="nil"/>
              <w:bottom w:val="nil"/>
              <w:right w:val="nil"/>
            </w:tcBorders>
            <w:vAlign w:val="center"/>
            <w:hideMark/>
          </w:tcPr>
          <w:p w:rsidR="0006176A" w:rsidRPr="00C67C91" w:rsidRDefault="0006176A" w:rsidP="00983E01">
            <w:pPr>
              <w:spacing w:after="0" w:line="240" w:lineRule="auto"/>
              <w:rPr>
                <w:rFonts w:ascii="Arial" w:hAnsi="Arial" w:cs="Arial"/>
                <w:b/>
                <w:bCs/>
                <w:color w:val="000000"/>
                <w:sz w:val="18"/>
                <w:szCs w:val="18"/>
                <w:u w:val="single"/>
              </w:rPr>
            </w:pPr>
            <w:r w:rsidRPr="00C67C91">
              <w:rPr>
                <w:rFonts w:ascii="Arial" w:hAnsi="Arial" w:cs="Arial"/>
                <w:b/>
                <w:bCs/>
                <w:color w:val="000000"/>
                <w:sz w:val="18"/>
                <w:szCs w:val="18"/>
                <w:u w:val="single"/>
              </w:rPr>
              <w:t>Por operaciones no comerciales:</w:t>
            </w:r>
          </w:p>
        </w:tc>
        <w:tc>
          <w:tcPr>
            <w:tcW w:w="1000" w:type="pct"/>
            <w:tcBorders>
              <w:top w:val="nil"/>
              <w:left w:val="nil"/>
              <w:bottom w:val="nil"/>
              <w:right w:val="nil"/>
            </w:tcBorders>
            <w:vAlign w:val="center"/>
            <w:hideMark/>
          </w:tcPr>
          <w:p w:rsidR="0006176A" w:rsidRPr="00C67C91" w:rsidRDefault="0006176A" w:rsidP="00983E01">
            <w:pPr>
              <w:spacing w:after="0" w:line="240" w:lineRule="auto"/>
              <w:jc w:val="right"/>
              <w:rPr>
                <w:rFonts w:ascii="Arial" w:hAnsi="Arial" w:cs="Arial"/>
                <w:color w:val="000000"/>
                <w:sz w:val="18"/>
                <w:szCs w:val="18"/>
              </w:rPr>
            </w:pPr>
          </w:p>
        </w:tc>
        <w:tc>
          <w:tcPr>
            <w:tcW w:w="874" w:type="pct"/>
            <w:tcBorders>
              <w:top w:val="nil"/>
              <w:left w:val="nil"/>
              <w:bottom w:val="nil"/>
              <w:right w:val="nil"/>
            </w:tcBorders>
            <w:vAlign w:val="center"/>
            <w:hideMark/>
          </w:tcPr>
          <w:p w:rsidR="0006176A" w:rsidRPr="00C67C91" w:rsidRDefault="0006176A" w:rsidP="00983E01">
            <w:pPr>
              <w:spacing w:after="0" w:line="240" w:lineRule="auto"/>
              <w:jc w:val="right"/>
              <w:rPr>
                <w:rFonts w:ascii="Arial" w:hAnsi="Arial" w:cs="Arial"/>
                <w:color w:val="000000"/>
                <w:sz w:val="18"/>
                <w:szCs w:val="18"/>
              </w:rPr>
            </w:pPr>
          </w:p>
        </w:tc>
      </w:tr>
      <w:tr w:rsidR="0006176A" w:rsidRPr="00C67C91" w:rsidTr="00983E01">
        <w:trPr>
          <w:trHeight w:val="283"/>
        </w:trPr>
        <w:tc>
          <w:tcPr>
            <w:tcW w:w="3126" w:type="pct"/>
            <w:tcBorders>
              <w:top w:val="nil"/>
              <w:left w:val="nil"/>
              <w:bottom w:val="nil"/>
              <w:right w:val="nil"/>
            </w:tcBorders>
            <w:vAlign w:val="center"/>
            <w:hideMark/>
          </w:tcPr>
          <w:p w:rsidR="0006176A" w:rsidRPr="00C67C91" w:rsidRDefault="00BB30C6" w:rsidP="00983E01">
            <w:pPr>
              <w:spacing w:after="0" w:line="240" w:lineRule="auto"/>
              <w:rPr>
                <w:rFonts w:ascii="Arial" w:hAnsi="Arial" w:cs="Arial"/>
                <w:color w:val="000000"/>
                <w:sz w:val="18"/>
                <w:szCs w:val="18"/>
              </w:rPr>
            </w:pPr>
            <w:r w:rsidRPr="00C67C91">
              <w:rPr>
                <w:rFonts w:ascii="Arial" w:hAnsi="Arial" w:cs="Arial"/>
                <w:color w:val="000000"/>
                <w:sz w:val="18"/>
                <w:szCs w:val="18"/>
              </w:rPr>
              <w:t>Otros pasivos financieros</w:t>
            </w:r>
          </w:p>
        </w:tc>
        <w:tc>
          <w:tcPr>
            <w:tcW w:w="1000" w:type="pct"/>
            <w:tcBorders>
              <w:top w:val="nil"/>
              <w:left w:val="nil"/>
              <w:bottom w:val="nil"/>
              <w:right w:val="nil"/>
            </w:tcBorders>
            <w:vAlign w:val="center"/>
            <w:hideMark/>
          </w:tcPr>
          <w:p w:rsidR="0006176A" w:rsidRPr="00C67C91" w:rsidRDefault="0006176A" w:rsidP="00983E01">
            <w:pPr>
              <w:spacing w:after="0" w:line="240" w:lineRule="auto"/>
              <w:jc w:val="right"/>
              <w:rPr>
                <w:rFonts w:ascii="Arial" w:hAnsi="Arial" w:cs="Arial"/>
                <w:color w:val="000000"/>
                <w:sz w:val="18"/>
                <w:szCs w:val="18"/>
              </w:rPr>
            </w:pPr>
            <w:r w:rsidRPr="00C67C91">
              <w:rPr>
                <w:rFonts w:ascii="Arial" w:hAnsi="Arial" w:cs="Arial"/>
                <w:color w:val="000000"/>
                <w:sz w:val="18"/>
                <w:szCs w:val="18"/>
              </w:rPr>
              <w:t>60.917,46</w:t>
            </w:r>
          </w:p>
        </w:tc>
        <w:tc>
          <w:tcPr>
            <w:tcW w:w="874" w:type="pct"/>
            <w:tcBorders>
              <w:top w:val="nil"/>
              <w:left w:val="nil"/>
              <w:bottom w:val="nil"/>
              <w:right w:val="nil"/>
            </w:tcBorders>
            <w:vAlign w:val="center"/>
            <w:hideMark/>
          </w:tcPr>
          <w:p w:rsidR="0006176A" w:rsidRPr="00C67C91" w:rsidRDefault="0006176A" w:rsidP="00983E01">
            <w:pPr>
              <w:spacing w:after="0" w:line="240" w:lineRule="auto"/>
              <w:jc w:val="right"/>
              <w:rPr>
                <w:rFonts w:ascii="Arial" w:hAnsi="Arial" w:cs="Arial"/>
                <w:color w:val="000000"/>
                <w:sz w:val="18"/>
                <w:szCs w:val="18"/>
              </w:rPr>
            </w:pPr>
            <w:r w:rsidRPr="00C67C91">
              <w:rPr>
                <w:rFonts w:ascii="Arial" w:hAnsi="Arial" w:cs="Arial"/>
                <w:color w:val="000000"/>
                <w:sz w:val="18"/>
                <w:szCs w:val="18"/>
              </w:rPr>
              <w:t>60.917,46</w:t>
            </w:r>
          </w:p>
        </w:tc>
      </w:tr>
      <w:tr w:rsidR="0006176A" w:rsidRPr="00C67C91" w:rsidTr="00983E01">
        <w:trPr>
          <w:trHeight w:val="283"/>
        </w:trPr>
        <w:tc>
          <w:tcPr>
            <w:tcW w:w="3126" w:type="pct"/>
            <w:tcBorders>
              <w:top w:val="nil"/>
              <w:left w:val="nil"/>
              <w:bottom w:val="nil"/>
              <w:right w:val="nil"/>
            </w:tcBorders>
            <w:vAlign w:val="center"/>
            <w:hideMark/>
          </w:tcPr>
          <w:p w:rsidR="0006176A" w:rsidRPr="00C67C91" w:rsidRDefault="0006176A" w:rsidP="00983E01">
            <w:pPr>
              <w:spacing w:after="0" w:line="240" w:lineRule="auto"/>
              <w:rPr>
                <w:rFonts w:ascii="Arial" w:hAnsi="Arial" w:cs="Arial"/>
                <w:color w:val="000000"/>
                <w:sz w:val="18"/>
                <w:szCs w:val="18"/>
              </w:rPr>
            </w:pPr>
            <w:r w:rsidRPr="00C67C91">
              <w:rPr>
                <w:rFonts w:ascii="Arial" w:hAnsi="Arial" w:cs="Arial"/>
                <w:color w:val="000000"/>
                <w:sz w:val="18"/>
                <w:szCs w:val="18"/>
              </w:rPr>
              <w:t>Cuenta corriente empresa del grupo (Nota 9)</w:t>
            </w:r>
          </w:p>
        </w:tc>
        <w:tc>
          <w:tcPr>
            <w:tcW w:w="1000" w:type="pct"/>
            <w:tcBorders>
              <w:top w:val="nil"/>
              <w:left w:val="nil"/>
              <w:bottom w:val="nil"/>
              <w:right w:val="nil"/>
            </w:tcBorders>
            <w:vAlign w:val="center"/>
            <w:hideMark/>
          </w:tcPr>
          <w:p w:rsidR="0006176A" w:rsidRPr="00C67C91" w:rsidRDefault="0006176A" w:rsidP="00983E01">
            <w:pPr>
              <w:spacing w:after="0" w:line="240" w:lineRule="auto"/>
              <w:jc w:val="right"/>
              <w:rPr>
                <w:rFonts w:ascii="Arial" w:hAnsi="Arial" w:cs="Arial"/>
                <w:color w:val="000000"/>
                <w:sz w:val="18"/>
                <w:szCs w:val="18"/>
              </w:rPr>
            </w:pPr>
            <w:r w:rsidRPr="00C67C91">
              <w:rPr>
                <w:rFonts w:ascii="Arial" w:hAnsi="Arial" w:cs="Arial"/>
                <w:color w:val="000000"/>
                <w:sz w:val="18"/>
                <w:szCs w:val="18"/>
              </w:rPr>
              <w:t>6.775,75</w:t>
            </w:r>
          </w:p>
        </w:tc>
        <w:tc>
          <w:tcPr>
            <w:tcW w:w="874" w:type="pct"/>
            <w:tcBorders>
              <w:top w:val="nil"/>
              <w:left w:val="nil"/>
              <w:bottom w:val="nil"/>
              <w:right w:val="nil"/>
            </w:tcBorders>
            <w:vAlign w:val="center"/>
            <w:hideMark/>
          </w:tcPr>
          <w:p w:rsidR="0006176A" w:rsidRPr="00C67C91" w:rsidRDefault="0006176A" w:rsidP="00983E01">
            <w:pPr>
              <w:spacing w:after="0" w:line="240" w:lineRule="auto"/>
              <w:jc w:val="right"/>
              <w:rPr>
                <w:rFonts w:ascii="Arial" w:hAnsi="Arial" w:cs="Arial"/>
                <w:color w:val="000000"/>
                <w:sz w:val="18"/>
                <w:szCs w:val="18"/>
              </w:rPr>
            </w:pPr>
            <w:r w:rsidRPr="00C67C91">
              <w:rPr>
                <w:rFonts w:ascii="Arial" w:hAnsi="Arial" w:cs="Arial"/>
                <w:color w:val="000000"/>
                <w:sz w:val="18"/>
                <w:szCs w:val="18"/>
              </w:rPr>
              <w:t>6.775,75</w:t>
            </w:r>
          </w:p>
        </w:tc>
      </w:tr>
      <w:tr w:rsidR="0006176A" w:rsidRPr="00C67C91" w:rsidTr="00983E01">
        <w:trPr>
          <w:trHeight w:val="283"/>
        </w:trPr>
        <w:tc>
          <w:tcPr>
            <w:tcW w:w="3126" w:type="pct"/>
            <w:tcBorders>
              <w:top w:val="nil"/>
              <w:left w:val="nil"/>
              <w:right w:val="nil"/>
            </w:tcBorders>
            <w:shd w:val="clear" w:color="000000" w:fill="F2F2F2"/>
            <w:vAlign w:val="center"/>
            <w:hideMark/>
          </w:tcPr>
          <w:p w:rsidR="0006176A" w:rsidRPr="00C67C91" w:rsidRDefault="0006176A" w:rsidP="00983E01">
            <w:pPr>
              <w:spacing w:after="0" w:line="240" w:lineRule="auto"/>
              <w:rPr>
                <w:rFonts w:ascii="Arial" w:hAnsi="Arial" w:cs="Arial"/>
                <w:b/>
                <w:bCs/>
                <w:color w:val="000000"/>
                <w:sz w:val="18"/>
                <w:szCs w:val="18"/>
              </w:rPr>
            </w:pPr>
            <w:r w:rsidRPr="00C67C91">
              <w:rPr>
                <w:rFonts w:ascii="Arial" w:hAnsi="Arial" w:cs="Arial"/>
                <w:b/>
                <w:bCs/>
                <w:color w:val="000000"/>
                <w:sz w:val="18"/>
                <w:szCs w:val="18"/>
              </w:rPr>
              <w:t xml:space="preserve">Total saldos por </w:t>
            </w:r>
            <w:proofErr w:type="spellStart"/>
            <w:r w:rsidRPr="00C67C91">
              <w:rPr>
                <w:rFonts w:ascii="Arial" w:hAnsi="Arial" w:cs="Arial"/>
                <w:b/>
                <w:bCs/>
                <w:color w:val="000000"/>
                <w:sz w:val="18"/>
                <w:szCs w:val="18"/>
              </w:rPr>
              <w:t>op</w:t>
            </w:r>
            <w:proofErr w:type="spellEnd"/>
            <w:r w:rsidRPr="00C67C91">
              <w:rPr>
                <w:rFonts w:ascii="Arial" w:hAnsi="Arial" w:cs="Arial"/>
                <w:b/>
                <w:bCs/>
                <w:color w:val="000000"/>
                <w:sz w:val="18"/>
                <w:szCs w:val="18"/>
              </w:rPr>
              <w:t xml:space="preserve">. No comerciales </w:t>
            </w:r>
          </w:p>
        </w:tc>
        <w:tc>
          <w:tcPr>
            <w:tcW w:w="1000" w:type="pct"/>
            <w:tcBorders>
              <w:top w:val="nil"/>
              <w:left w:val="nil"/>
              <w:right w:val="nil"/>
            </w:tcBorders>
            <w:shd w:val="clear" w:color="000000" w:fill="F2F2F2"/>
            <w:vAlign w:val="center"/>
            <w:hideMark/>
          </w:tcPr>
          <w:p w:rsidR="0006176A" w:rsidRPr="00C67C91" w:rsidRDefault="0006176A" w:rsidP="00983E01">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67.693,21</w:t>
            </w:r>
          </w:p>
        </w:tc>
        <w:tc>
          <w:tcPr>
            <w:tcW w:w="874" w:type="pct"/>
            <w:tcBorders>
              <w:top w:val="nil"/>
              <w:left w:val="nil"/>
              <w:right w:val="nil"/>
            </w:tcBorders>
            <w:shd w:val="clear" w:color="000000" w:fill="F2F2F2"/>
            <w:vAlign w:val="center"/>
            <w:hideMark/>
          </w:tcPr>
          <w:p w:rsidR="0006176A" w:rsidRPr="00C67C91" w:rsidRDefault="0006176A" w:rsidP="00983E01">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67.693,21</w:t>
            </w:r>
          </w:p>
        </w:tc>
      </w:tr>
      <w:tr w:rsidR="0006176A" w:rsidRPr="00C67C91" w:rsidTr="00983E01">
        <w:trPr>
          <w:trHeight w:val="227"/>
        </w:trPr>
        <w:tc>
          <w:tcPr>
            <w:tcW w:w="3126" w:type="pct"/>
            <w:tcBorders>
              <w:top w:val="nil"/>
              <w:left w:val="nil"/>
              <w:bottom w:val="single" w:sz="4" w:space="0" w:color="auto"/>
              <w:right w:val="nil"/>
            </w:tcBorders>
            <w:vAlign w:val="center"/>
            <w:hideMark/>
          </w:tcPr>
          <w:p w:rsidR="0006176A" w:rsidRPr="00C67C91" w:rsidRDefault="0006176A" w:rsidP="00983E01">
            <w:pPr>
              <w:spacing w:after="0" w:line="240" w:lineRule="auto"/>
              <w:rPr>
                <w:rFonts w:ascii="Arial" w:hAnsi="Arial" w:cs="Arial"/>
                <w:color w:val="000000"/>
                <w:sz w:val="18"/>
                <w:szCs w:val="18"/>
              </w:rPr>
            </w:pPr>
            <w:r w:rsidRPr="00C67C91">
              <w:rPr>
                <w:rFonts w:ascii="Arial" w:hAnsi="Arial" w:cs="Arial"/>
                <w:color w:val="000000"/>
                <w:sz w:val="18"/>
                <w:szCs w:val="18"/>
              </w:rPr>
              <w:t> </w:t>
            </w:r>
          </w:p>
        </w:tc>
        <w:tc>
          <w:tcPr>
            <w:tcW w:w="1000" w:type="pct"/>
            <w:tcBorders>
              <w:top w:val="nil"/>
              <w:left w:val="nil"/>
              <w:bottom w:val="single" w:sz="4" w:space="0" w:color="auto"/>
              <w:right w:val="nil"/>
            </w:tcBorders>
            <w:vAlign w:val="center"/>
            <w:hideMark/>
          </w:tcPr>
          <w:p w:rsidR="0006176A" w:rsidRPr="00C67C91" w:rsidRDefault="0006176A" w:rsidP="00983E01">
            <w:pPr>
              <w:spacing w:after="0" w:line="240" w:lineRule="auto"/>
              <w:jc w:val="right"/>
              <w:rPr>
                <w:rFonts w:ascii="Arial" w:hAnsi="Arial" w:cs="Arial"/>
                <w:color w:val="000000"/>
                <w:sz w:val="18"/>
                <w:szCs w:val="18"/>
              </w:rPr>
            </w:pPr>
          </w:p>
        </w:tc>
        <w:tc>
          <w:tcPr>
            <w:tcW w:w="874" w:type="pct"/>
            <w:tcBorders>
              <w:top w:val="nil"/>
              <w:left w:val="nil"/>
              <w:bottom w:val="single" w:sz="4" w:space="0" w:color="auto"/>
              <w:right w:val="nil"/>
            </w:tcBorders>
            <w:vAlign w:val="center"/>
            <w:hideMark/>
          </w:tcPr>
          <w:p w:rsidR="0006176A" w:rsidRPr="00C67C91" w:rsidRDefault="0006176A" w:rsidP="00983E01">
            <w:pPr>
              <w:spacing w:after="0" w:line="240" w:lineRule="auto"/>
              <w:jc w:val="right"/>
              <w:rPr>
                <w:rFonts w:ascii="Arial" w:hAnsi="Arial" w:cs="Arial"/>
                <w:color w:val="000000"/>
                <w:sz w:val="18"/>
                <w:szCs w:val="18"/>
              </w:rPr>
            </w:pPr>
          </w:p>
        </w:tc>
      </w:tr>
      <w:tr w:rsidR="0006176A" w:rsidRPr="00C67C91" w:rsidTr="00983E01">
        <w:trPr>
          <w:trHeight w:val="283"/>
        </w:trPr>
        <w:tc>
          <w:tcPr>
            <w:tcW w:w="3126" w:type="pct"/>
            <w:tcBorders>
              <w:top w:val="single" w:sz="4" w:space="0" w:color="auto"/>
              <w:left w:val="nil"/>
              <w:bottom w:val="single" w:sz="4" w:space="0" w:color="auto"/>
              <w:right w:val="nil"/>
            </w:tcBorders>
            <w:shd w:val="clear" w:color="000000" w:fill="F2F2F2"/>
            <w:vAlign w:val="center"/>
            <w:hideMark/>
          </w:tcPr>
          <w:p w:rsidR="0006176A" w:rsidRPr="00C67C91" w:rsidRDefault="0006176A" w:rsidP="00983E01">
            <w:pPr>
              <w:spacing w:after="0" w:line="240" w:lineRule="auto"/>
              <w:rPr>
                <w:rFonts w:ascii="Arial" w:hAnsi="Arial" w:cs="Arial"/>
                <w:b/>
                <w:bCs/>
                <w:color w:val="000000"/>
                <w:sz w:val="18"/>
                <w:szCs w:val="18"/>
              </w:rPr>
            </w:pPr>
            <w:r w:rsidRPr="00C67C91">
              <w:rPr>
                <w:rFonts w:ascii="Arial" w:hAnsi="Arial" w:cs="Arial"/>
                <w:b/>
                <w:bCs/>
                <w:color w:val="000000"/>
                <w:sz w:val="18"/>
                <w:szCs w:val="18"/>
              </w:rPr>
              <w:t>Total débitos y partidas a pagar</w:t>
            </w:r>
          </w:p>
        </w:tc>
        <w:tc>
          <w:tcPr>
            <w:tcW w:w="1000" w:type="pct"/>
            <w:tcBorders>
              <w:top w:val="single" w:sz="4" w:space="0" w:color="auto"/>
              <w:left w:val="nil"/>
              <w:bottom w:val="single" w:sz="4" w:space="0" w:color="auto"/>
              <w:right w:val="nil"/>
            </w:tcBorders>
            <w:shd w:val="clear" w:color="000000" w:fill="F2F2F2"/>
            <w:vAlign w:val="center"/>
            <w:hideMark/>
          </w:tcPr>
          <w:p w:rsidR="0006176A" w:rsidRPr="00C67C91" w:rsidRDefault="00F2792E" w:rsidP="00983E01">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1.643.658,19</w:t>
            </w:r>
          </w:p>
        </w:tc>
        <w:tc>
          <w:tcPr>
            <w:tcW w:w="874" w:type="pct"/>
            <w:tcBorders>
              <w:top w:val="single" w:sz="4" w:space="0" w:color="auto"/>
              <w:left w:val="nil"/>
              <w:bottom w:val="single" w:sz="4" w:space="0" w:color="auto"/>
              <w:right w:val="nil"/>
            </w:tcBorders>
            <w:shd w:val="clear" w:color="000000" w:fill="F2F2F2"/>
            <w:vAlign w:val="center"/>
            <w:hideMark/>
          </w:tcPr>
          <w:p w:rsidR="0006176A" w:rsidRPr="00C67C91" w:rsidRDefault="0006176A" w:rsidP="00983E01">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878.715,44</w:t>
            </w:r>
          </w:p>
        </w:tc>
      </w:tr>
    </w:tbl>
    <w:p w:rsidR="003304F9" w:rsidRDefault="003304F9" w:rsidP="008C2F9C">
      <w:pPr>
        <w:pStyle w:val="Default"/>
        <w:keepNext/>
        <w:keepLines/>
        <w:spacing w:before="120" w:after="120" w:line="260" w:lineRule="exact"/>
        <w:jc w:val="both"/>
        <w:rPr>
          <w:rFonts w:ascii="Arial" w:hAnsi="Arial" w:cs="Arial"/>
          <w:sz w:val="20"/>
          <w:szCs w:val="20"/>
        </w:rPr>
      </w:pPr>
      <w:r w:rsidRPr="008912BE">
        <w:rPr>
          <w:rFonts w:ascii="Arial" w:hAnsi="Arial" w:cs="Arial"/>
          <w:sz w:val="20"/>
          <w:szCs w:val="20"/>
        </w:rPr>
        <w:t>El epígrafe “</w:t>
      </w:r>
      <w:r w:rsidRPr="008912BE">
        <w:rPr>
          <w:rFonts w:ascii="Arial" w:hAnsi="Arial" w:cs="Arial"/>
          <w:sz w:val="18"/>
          <w:szCs w:val="18"/>
        </w:rPr>
        <w:t>Acreedores”</w:t>
      </w:r>
      <w:r w:rsidRPr="008912BE">
        <w:rPr>
          <w:rFonts w:ascii="Arial" w:hAnsi="Arial" w:cs="Arial"/>
          <w:sz w:val="20"/>
          <w:szCs w:val="20"/>
        </w:rPr>
        <w:t xml:space="preserve"> incluye el saldo con el Consorcio ACE (</w:t>
      </w:r>
      <w:proofErr w:type="spellStart"/>
      <w:r w:rsidRPr="008912BE">
        <w:rPr>
          <w:rFonts w:ascii="Arial" w:hAnsi="Arial" w:cs="Arial"/>
          <w:sz w:val="20"/>
          <w:szCs w:val="20"/>
        </w:rPr>
        <w:t>African</w:t>
      </w:r>
      <w:proofErr w:type="spellEnd"/>
      <w:r w:rsidRPr="008912BE">
        <w:rPr>
          <w:rFonts w:ascii="Arial" w:hAnsi="Arial" w:cs="Arial"/>
          <w:sz w:val="20"/>
          <w:szCs w:val="20"/>
        </w:rPr>
        <w:t xml:space="preserve"> </w:t>
      </w:r>
      <w:proofErr w:type="spellStart"/>
      <w:r w:rsidRPr="008912BE">
        <w:rPr>
          <w:rFonts w:ascii="Arial" w:hAnsi="Arial" w:cs="Arial"/>
          <w:sz w:val="20"/>
          <w:szCs w:val="20"/>
        </w:rPr>
        <w:t>Coast</w:t>
      </w:r>
      <w:proofErr w:type="spellEnd"/>
      <w:r w:rsidRPr="008912BE">
        <w:rPr>
          <w:rFonts w:ascii="Arial" w:hAnsi="Arial" w:cs="Arial"/>
          <w:sz w:val="20"/>
          <w:szCs w:val="20"/>
        </w:rPr>
        <w:t xml:space="preserve"> </w:t>
      </w:r>
      <w:proofErr w:type="spellStart"/>
      <w:r w:rsidRPr="008912BE">
        <w:rPr>
          <w:rFonts w:ascii="Arial" w:hAnsi="Arial" w:cs="Arial"/>
          <w:sz w:val="20"/>
          <w:szCs w:val="20"/>
        </w:rPr>
        <w:t>to</w:t>
      </w:r>
      <w:proofErr w:type="spellEnd"/>
      <w:r w:rsidRPr="008912BE">
        <w:rPr>
          <w:rFonts w:ascii="Arial" w:hAnsi="Arial" w:cs="Arial"/>
          <w:sz w:val="20"/>
          <w:szCs w:val="20"/>
        </w:rPr>
        <w:t xml:space="preserve"> </w:t>
      </w:r>
      <w:proofErr w:type="spellStart"/>
      <w:r w:rsidRPr="008912BE">
        <w:rPr>
          <w:rFonts w:ascii="Arial" w:hAnsi="Arial" w:cs="Arial"/>
          <w:sz w:val="20"/>
          <w:szCs w:val="20"/>
        </w:rPr>
        <w:t>Europe</w:t>
      </w:r>
      <w:proofErr w:type="spellEnd"/>
      <w:r w:rsidRPr="008912BE">
        <w:rPr>
          <w:rFonts w:ascii="Arial" w:hAnsi="Arial" w:cs="Arial"/>
          <w:sz w:val="20"/>
          <w:szCs w:val="20"/>
        </w:rPr>
        <w:t>) correspondiente a la explotación del cable submarino entre Canarias y África.</w:t>
      </w:r>
    </w:p>
    <w:p w:rsidR="00DD3FE4" w:rsidRPr="00C67C91" w:rsidRDefault="00DD3FE4" w:rsidP="00EA0967">
      <w:pPr>
        <w:pStyle w:val="Default"/>
        <w:keepNext/>
        <w:keepLines/>
        <w:spacing w:line="260" w:lineRule="exact"/>
        <w:jc w:val="both"/>
        <w:rPr>
          <w:rFonts w:ascii="Arial" w:hAnsi="Arial" w:cs="Arial"/>
          <w:color w:val="FFFFFF"/>
          <w:sz w:val="20"/>
          <w:szCs w:val="20"/>
        </w:rPr>
      </w:pPr>
      <w:r w:rsidRPr="00C67C91">
        <w:rPr>
          <w:rFonts w:ascii="Arial" w:hAnsi="Arial" w:cs="Arial"/>
          <w:sz w:val="20"/>
          <w:szCs w:val="20"/>
          <w:u w:val="single"/>
        </w:rPr>
        <w:t>Clasificació</w:t>
      </w:r>
      <w:r w:rsidR="003304F9">
        <w:rPr>
          <w:rFonts w:ascii="Arial" w:hAnsi="Arial" w:cs="Arial"/>
          <w:sz w:val="20"/>
          <w:szCs w:val="20"/>
          <w:u w:val="single"/>
        </w:rPr>
        <w:t>n por vencimientos</w:t>
      </w:r>
    </w:p>
    <w:p w:rsidR="00DD3FE4" w:rsidRPr="00C67C91" w:rsidRDefault="00DD3FE4" w:rsidP="008C2F9C">
      <w:pPr>
        <w:keepNext/>
        <w:keepLines/>
        <w:widowControl w:val="0"/>
        <w:autoSpaceDE w:val="0"/>
        <w:autoSpaceDN w:val="0"/>
        <w:adjustRightInd w:val="0"/>
        <w:spacing w:before="120" w:after="120" w:line="260" w:lineRule="exact"/>
        <w:jc w:val="both"/>
        <w:rPr>
          <w:rFonts w:ascii="Arial" w:hAnsi="Arial" w:cs="Arial"/>
          <w:sz w:val="20"/>
          <w:szCs w:val="20"/>
        </w:rPr>
      </w:pPr>
      <w:r w:rsidRPr="00C67C91">
        <w:rPr>
          <w:rFonts w:ascii="Arial" w:hAnsi="Arial" w:cs="Arial"/>
          <w:sz w:val="20"/>
          <w:szCs w:val="20"/>
        </w:rPr>
        <w:t xml:space="preserve">Las clasificaciones por vencimientos de los pasivos financieros en el ejercicio </w:t>
      </w:r>
      <w:r w:rsidR="00FA495B" w:rsidRPr="00C67C91">
        <w:rPr>
          <w:rFonts w:ascii="Arial" w:hAnsi="Arial" w:cs="Arial"/>
          <w:sz w:val="20"/>
          <w:szCs w:val="20"/>
        </w:rPr>
        <w:t>2020 y 2019</w:t>
      </w:r>
      <w:r w:rsidRPr="00C67C91">
        <w:rPr>
          <w:rFonts w:ascii="Arial" w:hAnsi="Arial" w:cs="Arial"/>
          <w:sz w:val="20"/>
          <w:szCs w:val="20"/>
        </w:rPr>
        <w:t xml:space="preserve"> </w:t>
      </w:r>
      <w:proofErr w:type="gramStart"/>
      <w:r w:rsidRPr="00C67C91">
        <w:rPr>
          <w:rFonts w:ascii="Arial" w:hAnsi="Arial" w:cs="Arial"/>
          <w:sz w:val="20"/>
          <w:szCs w:val="20"/>
        </w:rPr>
        <w:t>es</w:t>
      </w:r>
      <w:proofErr w:type="gramEnd"/>
      <w:r w:rsidRPr="00C67C91">
        <w:rPr>
          <w:rFonts w:ascii="Arial" w:hAnsi="Arial" w:cs="Arial"/>
          <w:sz w:val="20"/>
          <w:szCs w:val="20"/>
        </w:rPr>
        <w:t xml:space="preserve"> inferior a un año.</w:t>
      </w:r>
    </w:p>
    <w:p w:rsidR="00DD3FE4" w:rsidRPr="00C67C91" w:rsidRDefault="00DD3FE4" w:rsidP="00EA0967">
      <w:pPr>
        <w:keepNext/>
        <w:keepLines/>
        <w:widowControl w:val="0"/>
        <w:autoSpaceDE w:val="0"/>
        <w:autoSpaceDN w:val="0"/>
        <w:adjustRightInd w:val="0"/>
        <w:spacing w:after="0" w:line="260" w:lineRule="exact"/>
        <w:jc w:val="both"/>
        <w:rPr>
          <w:rFonts w:ascii="Arial" w:hAnsi="Arial" w:cs="Arial"/>
          <w:sz w:val="20"/>
          <w:szCs w:val="20"/>
          <w:u w:val="single"/>
        </w:rPr>
      </w:pPr>
      <w:r w:rsidRPr="00C67C91">
        <w:rPr>
          <w:rFonts w:ascii="Arial" w:hAnsi="Arial" w:cs="Arial"/>
          <w:sz w:val="20"/>
          <w:szCs w:val="20"/>
          <w:u w:val="single"/>
        </w:rPr>
        <w:t>Otra información</w:t>
      </w:r>
    </w:p>
    <w:p w:rsidR="00DD3FE4" w:rsidRPr="00C67C91" w:rsidRDefault="00DD3FE4" w:rsidP="008C2F9C">
      <w:pPr>
        <w:pStyle w:val="CM23"/>
        <w:spacing w:before="120" w:after="120" w:line="260" w:lineRule="exact"/>
        <w:jc w:val="both"/>
        <w:rPr>
          <w:rFonts w:ascii="Arial" w:hAnsi="Arial" w:cs="Arial"/>
          <w:color w:val="000000"/>
          <w:sz w:val="20"/>
          <w:szCs w:val="20"/>
        </w:rPr>
      </w:pPr>
      <w:r w:rsidRPr="00C67C91">
        <w:rPr>
          <w:rFonts w:ascii="Arial" w:hAnsi="Arial" w:cs="Arial"/>
          <w:color w:val="000000"/>
          <w:sz w:val="20"/>
          <w:szCs w:val="20"/>
        </w:rPr>
        <w:t xml:space="preserve">No se mantiene ningún tipo de pólizas de crédito con entidades bancarias. </w:t>
      </w:r>
    </w:p>
    <w:p w:rsidR="00336822" w:rsidRPr="00203EFC" w:rsidRDefault="00336822" w:rsidP="00203EFC">
      <w:pPr>
        <w:pStyle w:val="CM20"/>
        <w:spacing w:before="240" w:after="120"/>
        <w:ind w:left="284" w:hanging="284"/>
        <w:jc w:val="both"/>
        <w:rPr>
          <w:rFonts w:ascii="Arial" w:hAnsi="Arial" w:cs="Arial"/>
          <w:b/>
          <w:bCs/>
          <w:sz w:val="20"/>
          <w:szCs w:val="20"/>
        </w:rPr>
      </w:pPr>
      <w:r w:rsidRPr="00203EFC">
        <w:rPr>
          <w:rFonts w:ascii="Arial" w:hAnsi="Arial" w:cs="Arial"/>
          <w:b/>
          <w:bCs/>
          <w:sz w:val="20"/>
          <w:szCs w:val="20"/>
        </w:rPr>
        <w:t>7.</w:t>
      </w:r>
      <w:r w:rsidR="002767D9" w:rsidRPr="00203EFC">
        <w:rPr>
          <w:rFonts w:ascii="Arial" w:hAnsi="Arial" w:cs="Arial"/>
          <w:b/>
          <w:bCs/>
          <w:sz w:val="20"/>
          <w:szCs w:val="20"/>
        </w:rPr>
        <w:t xml:space="preserve">- </w:t>
      </w:r>
      <w:r w:rsidRPr="00203EFC">
        <w:rPr>
          <w:rFonts w:ascii="Arial" w:hAnsi="Arial" w:cs="Arial"/>
          <w:b/>
          <w:bCs/>
          <w:sz w:val="20"/>
          <w:szCs w:val="20"/>
        </w:rPr>
        <w:t xml:space="preserve">FONDOS PROPIOS </w:t>
      </w:r>
    </w:p>
    <w:p w:rsidR="00BB30C6" w:rsidRPr="00C67C91" w:rsidRDefault="00BB30C6" w:rsidP="008C2F9C">
      <w:pPr>
        <w:pStyle w:val="Default"/>
        <w:keepNext/>
        <w:keepLines/>
        <w:spacing w:before="120" w:line="260" w:lineRule="exact"/>
        <w:jc w:val="both"/>
        <w:rPr>
          <w:rFonts w:ascii="Arial" w:hAnsi="Arial" w:cs="Arial"/>
          <w:sz w:val="20"/>
          <w:szCs w:val="20"/>
          <w:u w:val="single"/>
        </w:rPr>
      </w:pPr>
      <w:r w:rsidRPr="00C67C91">
        <w:rPr>
          <w:rFonts w:ascii="Arial" w:hAnsi="Arial" w:cs="Arial"/>
          <w:b/>
          <w:bCs/>
          <w:sz w:val="20"/>
          <w:szCs w:val="20"/>
          <w:u w:val="single"/>
        </w:rPr>
        <w:t>Capital Social</w:t>
      </w:r>
    </w:p>
    <w:p w:rsidR="00336822" w:rsidRPr="00C67C91" w:rsidRDefault="00336822" w:rsidP="008C2F9C">
      <w:pPr>
        <w:pStyle w:val="CM20"/>
        <w:spacing w:before="120" w:after="120" w:line="260" w:lineRule="exact"/>
        <w:jc w:val="both"/>
        <w:rPr>
          <w:rFonts w:ascii="Arial" w:hAnsi="Arial" w:cs="Arial"/>
          <w:color w:val="000000"/>
          <w:sz w:val="20"/>
          <w:szCs w:val="20"/>
        </w:rPr>
      </w:pPr>
      <w:r w:rsidRPr="00C67C91">
        <w:rPr>
          <w:rFonts w:ascii="Arial" w:hAnsi="Arial" w:cs="Arial"/>
          <w:color w:val="000000"/>
          <w:sz w:val="20"/>
          <w:szCs w:val="20"/>
        </w:rPr>
        <w:t>El Capital Social de la Socie</w:t>
      </w:r>
      <w:r w:rsidR="00DD3FE4" w:rsidRPr="00C67C91">
        <w:rPr>
          <w:rFonts w:ascii="Arial" w:hAnsi="Arial" w:cs="Arial"/>
          <w:color w:val="000000"/>
          <w:sz w:val="20"/>
          <w:szCs w:val="20"/>
        </w:rPr>
        <w:t xml:space="preserve">dad al cierre del ejercicio </w:t>
      </w:r>
      <w:r w:rsidR="00FA495B" w:rsidRPr="00C67C91">
        <w:rPr>
          <w:rFonts w:ascii="Arial" w:hAnsi="Arial" w:cs="Arial"/>
          <w:sz w:val="20"/>
          <w:szCs w:val="20"/>
        </w:rPr>
        <w:t xml:space="preserve">2020 y 2019 </w:t>
      </w:r>
      <w:r w:rsidRPr="00C67C91">
        <w:rPr>
          <w:rFonts w:ascii="Arial" w:hAnsi="Arial" w:cs="Arial"/>
          <w:color w:val="000000"/>
          <w:sz w:val="20"/>
          <w:szCs w:val="20"/>
        </w:rPr>
        <w:t>es de 1.003.000,00 euros dividido en 1.003.000 participaciones, iguales, acumulables e indivisibles, de 1</w:t>
      </w:r>
      <w:r w:rsidR="00DD3FE4" w:rsidRPr="00C67C91">
        <w:rPr>
          <w:rFonts w:ascii="Arial" w:hAnsi="Arial" w:cs="Arial"/>
          <w:color w:val="000000"/>
          <w:sz w:val="20"/>
          <w:szCs w:val="20"/>
        </w:rPr>
        <w:t>,00</w:t>
      </w:r>
      <w:r w:rsidRPr="00C67C91">
        <w:rPr>
          <w:rFonts w:ascii="Arial" w:hAnsi="Arial" w:cs="Arial"/>
          <w:color w:val="000000"/>
          <w:sz w:val="20"/>
          <w:szCs w:val="20"/>
        </w:rPr>
        <w:t xml:space="preserve"> euro de valor nominal, numeradas de la 1 a la 1.003.000, ambas inclusive, totalmente suscritas y d</w:t>
      </w:r>
      <w:r w:rsidR="00DD3FE4" w:rsidRPr="00C67C91">
        <w:rPr>
          <w:rFonts w:ascii="Arial" w:hAnsi="Arial" w:cs="Arial"/>
          <w:color w:val="000000"/>
          <w:sz w:val="20"/>
          <w:szCs w:val="20"/>
        </w:rPr>
        <w:t>esembolsadas por el socio único.</w:t>
      </w:r>
    </w:p>
    <w:p w:rsidR="00DD3FE4" w:rsidRPr="008C2F9C" w:rsidRDefault="00DD3FE4" w:rsidP="008C2F9C">
      <w:pPr>
        <w:pStyle w:val="CM20"/>
        <w:spacing w:before="120" w:after="120" w:line="260" w:lineRule="exact"/>
        <w:jc w:val="both"/>
        <w:rPr>
          <w:rFonts w:ascii="Arial" w:hAnsi="Arial" w:cs="Arial"/>
          <w:color w:val="000000"/>
          <w:sz w:val="20"/>
          <w:szCs w:val="20"/>
        </w:rPr>
      </w:pPr>
      <w:r w:rsidRPr="008C2F9C">
        <w:rPr>
          <w:rFonts w:ascii="Arial" w:hAnsi="Arial" w:cs="Arial"/>
          <w:color w:val="000000"/>
          <w:sz w:val="20"/>
          <w:szCs w:val="20"/>
        </w:rPr>
        <w:t xml:space="preserve">La sociedad con participación directa o indirecta igual o superior al 10% del capital social </w:t>
      </w:r>
      <w:r w:rsidR="008C2F9C" w:rsidRPr="008C2F9C">
        <w:rPr>
          <w:rFonts w:ascii="Arial" w:hAnsi="Arial" w:cs="Arial"/>
          <w:color w:val="000000"/>
          <w:sz w:val="20"/>
          <w:szCs w:val="20"/>
        </w:rPr>
        <w:t xml:space="preserve">es Canarias </w:t>
      </w:r>
      <w:proofErr w:type="spellStart"/>
      <w:r w:rsidR="008C2F9C" w:rsidRPr="008C2F9C">
        <w:rPr>
          <w:rFonts w:ascii="Arial" w:hAnsi="Arial" w:cs="Arial"/>
          <w:color w:val="000000"/>
          <w:sz w:val="20"/>
          <w:szCs w:val="20"/>
        </w:rPr>
        <w:t>Sumarine</w:t>
      </w:r>
      <w:proofErr w:type="spellEnd"/>
      <w:r w:rsidR="008C2F9C" w:rsidRPr="008C2F9C">
        <w:rPr>
          <w:rFonts w:ascii="Arial" w:hAnsi="Arial" w:cs="Arial"/>
          <w:color w:val="000000"/>
          <w:sz w:val="20"/>
          <w:szCs w:val="20"/>
        </w:rPr>
        <w:t xml:space="preserve"> Link, S.L. que posee el 100% de la sociedad.</w:t>
      </w:r>
    </w:p>
    <w:p w:rsidR="00336822" w:rsidRPr="00C67C91" w:rsidRDefault="00336822" w:rsidP="008C2F9C">
      <w:pPr>
        <w:pStyle w:val="CM20"/>
        <w:spacing w:before="120" w:after="120" w:line="260" w:lineRule="exact"/>
        <w:jc w:val="both"/>
        <w:rPr>
          <w:rFonts w:ascii="Arial" w:hAnsi="Arial" w:cs="Arial"/>
          <w:color w:val="000000"/>
          <w:sz w:val="20"/>
          <w:szCs w:val="20"/>
        </w:rPr>
      </w:pPr>
      <w:r w:rsidRPr="00C67C91">
        <w:rPr>
          <w:rFonts w:ascii="Arial" w:hAnsi="Arial" w:cs="Arial"/>
          <w:color w:val="000000"/>
          <w:sz w:val="20"/>
          <w:szCs w:val="20"/>
        </w:rPr>
        <w:t>Queda integrada en los Fondos Propios una prima de asunción de 23.823.429, euros, correspondientes 450 euros por participación (1-3000) y de 22,473429 por participación (30</w:t>
      </w:r>
      <w:r w:rsidR="00DD3FE4" w:rsidRPr="00C67C91">
        <w:rPr>
          <w:rFonts w:ascii="Arial" w:hAnsi="Arial" w:cs="Arial"/>
          <w:color w:val="000000"/>
          <w:sz w:val="20"/>
          <w:szCs w:val="20"/>
        </w:rPr>
        <w:t xml:space="preserve">01 - </w:t>
      </w:r>
      <w:r w:rsidR="001D4FE3">
        <w:rPr>
          <w:rFonts w:ascii="Arial" w:hAnsi="Arial" w:cs="Arial"/>
          <w:color w:val="000000"/>
          <w:sz w:val="20"/>
          <w:szCs w:val="20"/>
        </w:rPr>
        <w:t>1.003.000).</w:t>
      </w:r>
    </w:p>
    <w:p w:rsidR="001D4FE3" w:rsidRPr="008C2F9C" w:rsidRDefault="003F6896" w:rsidP="008C2F9C">
      <w:pPr>
        <w:pStyle w:val="CM20"/>
        <w:spacing w:before="120" w:after="120" w:line="260" w:lineRule="exact"/>
        <w:jc w:val="both"/>
        <w:rPr>
          <w:rFonts w:ascii="Arial" w:hAnsi="Arial" w:cs="Arial"/>
          <w:color w:val="000000"/>
          <w:sz w:val="20"/>
          <w:szCs w:val="20"/>
        </w:rPr>
      </w:pPr>
      <w:r w:rsidRPr="008C2F9C">
        <w:rPr>
          <w:rFonts w:ascii="Arial" w:hAnsi="Arial" w:cs="Arial"/>
          <w:color w:val="000000"/>
          <w:sz w:val="20"/>
          <w:szCs w:val="20"/>
        </w:rPr>
        <w:t>Con fecha 23 de diciembre de 2016 se realizó una ampliación de capital por valor de 1.000.000 € y 22.473.429 € de prima de asunción por compensación de los créditos que figuran en el pasivo de balance cuyo acree</w:t>
      </w:r>
      <w:r w:rsidR="001D4FE3" w:rsidRPr="008C2F9C">
        <w:rPr>
          <w:rFonts w:ascii="Arial" w:hAnsi="Arial" w:cs="Arial"/>
          <w:color w:val="000000"/>
          <w:sz w:val="20"/>
          <w:szCs w:val="20"/>
        </w:rPr>
        <w:t xml:space="preserve">dor es Canarias </w:t>
      </w:r>
      <w:proofErr w:type="spellStart"/>
      <w:r w:rsidR="001D4FE3" w:rsidRPr="008C2F9C">
        <w:rPr>
          <w:rFonts w:ascii="Arial" w:hAnsi="Arial" w:cs="Arial"/>
          <w:color w:val="000000"/>
          <w:sz w:val="20"/>
          <w:szCs w:val="20"/>
        </w:rPr>
        <w:t>Submarine</w:t>
      </w:r>
      <w:proofErr w:type="spellEnd"/>
      <w:r w:rsidR="001D4FE3" w:rsidRPr="008C2F9C">
        <w:rPr>
          <w:rFonts w:ascii="Arial" w:hAnsi="Arial" w:cs="Arial"/>
          <w:color w:val="000000"/>
          <w:sz w:val="20"/>
          <w:szCs w:val="20"/>
        </w:rPr>
        <w:t xml:space="preserve"> Link</w:t>
      </w:r>
      <w:r w:rsidR="008C2F9C">
        <w:rPr>
          <w:rFonts w:ascii="Arial" w:hAnsi="Arial" w:cs="Arial"/>
          <w:color w:val="000000"/>
          <w:sz w:val="20"/>
          <w:szCs w:val="20"/>
        </w:rPr>
        <w:t>, S.L.</w:t>
      </w:r>
    </w:p>
    <w:p w:rsidR="003F6896" w:rsidRPr="008C2F9C" w:rsidRDefault="003F6896" w:rsidP="008C2F9C">
      <w:pPr>
        <w:pStyle w:val="CM20"/>
        <w:spacing w:before="120" w:after="0" w:line="260" w:lineRule="exact"/>
        <w:jc w:val="both"/>
        <w:rPr>
          <w:rFonts w:ascii="Arial" w:hAnsi="Arial" w:cs="Arial"/>
          <w:color w:val="000000"/>
          <w:sz w:val="20"/>
          <w:szCs w:val="20"/>
        </w:rPr>
      </w:pPr>
      <w:r w:rsidRPr="008C2F9C">
        <w:rPr>
          <w:rFonts w:ascii="Arial" w:hAnsi="Arial" w:cs="Arial"/>
          <w:color w:val="000000"/>
          <w:sz w:val="20"/>
          <w:szCs w:val="20"/>
        </w:rPr>
        <w:lastRenderedPageBreak/>
        <w:t>Las participaciones son asumidas y desembolsadas por el socio único, Ca</w:t>
      </w:r>
      <w:r w:rsidR="00FF0059" w:rsidRPr="008C2F9C">
        <w:rPr>
          <w:rFonts w:ascii="Arial" w:hAnsi="Arial" w:cs="Arial"/>
          <w:color w:val="000000"/>
          <w:sz w:val="20"/>
          <w:szCs w:val="20"/>
        </w:rPr>
        <w:t xml:space="preserve">narias </w:t>
      </w:r>
      <w:proofErr w:type="spellStart"/>
      <w:r w:rsidR="00FF0059" w:rsidRPr="008C2F9C">
        <w:rPr>
          <w:rFonts w:ascii="Arial" w:hAnsi="Arial" w:cs="Arial"/>
          <w:color w:val="000000"/>
          <w:sz w:val="20"/>
          <w:szCs w:val="20"/>
        </w:rPr>
        <w:t>Submarine</w:t>
      </w:r>
      <w:proofErr w:type="spellEnd"/>
      <w:r w:rsidR="00FF0059" w:rsidRPr="008C2F9C">
        <w:rPr>
          <w:rFonts w:ascii="Arial" w:hAnsi="Arial" w:cs="Arial"/>
          <w:color w:val="000000"/>
          <w:sz w:val="20"/>
          <w:szCs w:val="20"/>
        </w:rPr>
        <w:t xml:space="preserve"> Link, S.L.</w:t>
      </w:r>
    </w:p>
    <w:p w:rsidR="00336822" w:rsidRPr="00FF0059" w:rsidRDefault="00336822" w:rsidP="008C2F9C">
      <w:pPr>
        <w:pStyle w:val="CM20"/>
        <w:keepNext/>
        <w:keepLines/>
        <w:spacing w:before="120" w:after="0" w:line="260" w:lineRule="exact"/>
        <w:jc w:val="both"/>
        <w:rPr>
          <w:rFonts w:ascii="Arial" w:hAnsi="Arial" w:cs="Arial"/>
          <w:color w:val="000000"/>
          <w:sz w:val="20"/>
          <w:szCs w:val="20"/>
        </w:rPr>
      </w:pPr>
      <w:r w:rsidRPr="00FF0059">
        <w:rPr>
          <w:rFonts w:ascii="Arial" w:hAnsi="Arial" w:cs="Arial"/>
          <w:b/>
          <w:color w:val="000000"/>
          <w:sz w:val="20"/>
          <w:szCs w:val="20"/>
          <w:u w:val="single"/>
        </w:rPr>
        <w:t>Acciones o participaciones propias</w:t>
      </w:r>
    </w:p>
    <w:p w:rsidR="003F6896" w:rsidRPr="00C67C91" w:rsidRDefault="00336822" w:rsidP="008C2F9C">
      <w:pPr>
        <w:pStyle w:val="CM23"/>
        <w:spacing w:before="120" w:after="0" w:line="260" w:lineRule="exact"/>
        <w:jc w:val="both"/>
        <w:rPr>
          <w:rFonts w:ascii="Arial" w:hAnsi="Arial" w:cs="Arial"/>
          <w:color w:val="000000"/>
          <w:sz w:val="20"/>
          <w:szCs w:val="20"/>
        </w:rPr>
      </w:pPr>
      <w:r w:rsidRPr="00C67C91">
        <w:rPr>
          <w:rFonts w:ascii="Arial" w:hAnsi="Arial" w:cs="Arial"/>
          <w:color w:val="000000"/>
          <w:sz w:val="20"/>
          <w:szCs w:val="20"/>
        </w:rPr>
        <w:t xml:space="preserve">La empresa no ha dispuesto de acciones o participaciones propias durante el ejercicio. </w:t>
      </w:r>
    </w:p>
    <w:p w:rsidR="003F6896" w:rsidRPr="00C67C91" w:rsidRDefault="003F6896" w:rsidP="008C2F9C">
      <w:pPr>
        <w:keepNext/>
        <w:keepLines/>
        <w:widowControl w:val="0"/>
        <w:autoSpaceDE w:val="0"/>
        <w:autoSpaceDN w:val="0"/>
        <w:adjustRightInd w:val="0"/>
        <w:spacing w:before="120" w:after="0" w:line="260" w:lineRule="exact"/>
        <w:jc w:val="both"/>
        <w:rPr>
          <w:rFonts w:ascii="Arial" w:hAnsi="Arial" w:cs="Arial"/>
          <w:b/>
          <w:bCs/>
          <w:sz w:val="20"/>
          <w:szCs w:val="20"/>
          <w:u w:val="single"/>
        </w:rPr>
      </w:pPr>
      <w:r w:rsidRPr="00C67C91">
        <w:rPr>
          <w:rFonts w:ascii="Arial" w:hAnsi="Arial" w:cs="Arial"/>
          <w:b/>
          <w:bCs/>
          <w:sz w:val="20"/>
          <w:szCs w:val="20"/>
          <w:u w:val="single"/>
        </w:rPr>
        <w:t>Reservas</w:t>
      </w:r>
    </w:p>
    <w:p w:rsidR="003F6896" w:rsidRPr="00C67C91" w:rsidRDefault="003F6896" w:rsidP="008C2F9C">
      <w:pPr>
        <w:keepNext/>
        <w:keepLines/>
        <w:spacing w:before="120" w:after="120" w:line="260" w:lineRule="exact"/>
        <w:jc w:val="both"/>
        <w:rPr>
          <w:rFonts w:ascii="Arial" w:hAnsi="Arial" w:cs="Arial"/>
          <w:sz w:val="20"/>
          <w:szCs w:val="20"/>
        </w:rPr>
      </w:pPr>
      <w:r w:rsidRPr="00C67C91">
        <w:rPr>
          <w:rFonts w:ascii="Arial" w:hAnsi="Arial" w:cs="Arial"/>
          <w:sz w:val="20"/>
          <w:szCs w:val="20"/>
        </w:rPr>
        <w:t xml:space="preserve">La Reserva Legal es restringida en cuanto a su uso, el cual se halla determinado por diversas disposiciones legales. De conformidad con la Ley de Sociedades de Capital, están obligadas a dotarla las sociedades mercantiles que, bajo dicha forma jurídica, obtengan beneficios, con un 10% de los mismos, hasta que el fondo de reserva constituido alcance la quinta parte del capital social suscrito. Los destinos de la reserva legal son la compensación de pérdidas o la ampliación de capital por la parte que exceda del 10% del capital ya aumentado, así como su distribución a los Socios en caso de liquidación. </w:t>
      </w:r>
    </w:p>
    <w:p w:rsidR="003F6896" w:rsidRPr="00C67C91" w:rsidRDefault="003F6896" w:rsidP="008C2F9C">
      <w:pPr>
        <w:spacing w:before="120" w:after="120" w:line="260" w:lineRule="exact"/>
        <w:jc w:val="both"/>
        <w:rPr>
          <w:rFonts w:ascii="Arial" w:hAnsi="Arial" w:cs="Arial"/>
          <w:sz w:val="20"/>
          <w:szCs w:val="20"/>
        </w:rPr>
      </w:pPr>
      <w:r w:rsidRPr="00C67C91">
        <w:rPr>
          <w:rFonts w:ascii="Arial" w:hAnsi="Arial" w:cs="Arial"/>
          <w:sz w:val="20"/>
          <w:szCs w:val="20"/>
        </w:rPr>
        <w:t>El detalle de las Reservas es el siguiente, en euros:</w:t>
      </w:r>
    </w:p>
    <w:tbl>
      <w:tblPr>
        <w:tblW w:w="5000" w:type="pct"/>
        <w:jc w:val="center"/>
        <w:tblCellMar>
          <w:left w:w="70" w:type="dxa"/>
          <w:right w:w="70" w:type="dxa"/>
        </w:tblCellMar>
        <w:tblLook w:val="04A0"/>
      </w:tblPr>
      <w:tblGrid>
        <w:gridCol w:w="4468"/>
        <w:gridCol w:w="2016"/>
        <w:gridCol w:w="2161"/>
      </w:tblGrid>
      <w:tr w:rsidR="00510594" w:rsidRPr="00C67C91" w:rsidTr="008C2F9C">
        <w:trPr>
          <w:trHeight w:val="312"/>
          <w:jc w:val="center"/>
        </w:trPr>
        <w:tc>
          <w:tcPr>
            <w:tcW w:w="2584" w:type="pct"/>
            <w:tcBorders>
              <w:top w:val="nil"/>
              <w:left w:val="nil"/>
              <w:bottom w:val="single" w:sz="4" w:space="0" w:color="auto"/>
              <w:right w:val="nil"/>
            </w:tcBorders>
            <w:shd w:val="clear" w:color="auto" w:fill="D9D9D9" w:themeFill="background1" w:themeFillShade="D9"/>
            <w:noWrap/>
            <w:vAlign w:val="bottom"/>
            <w:hideMark/>
          </w:tcPr>
          <w:p w:rsidR="00510594" w:rsidRPr="00C67C91" w:rsidRDefault="00510594" w:rsidP="00FF0059">
            <w:pPr>
              <w:spacing w:after="0" w:line="240" w:lineRule="auto"/>
              <w:jc w:val="center"/>
              <w:rPr>
                <w:rFonts w:ascii="Arial" w:hAnsi="Arial" w:cs="Arial"/>
                <w:color w:val="000000"/>
                <w:sz w:val="18"/>
                <w:szCs w:val="18"/>
              </w:rPr>
            </w:pPr>
          </w:p>
        </w:tc>
        <w:tc>
          <w:tcPr>
            <w:tcW w:w="1166" w:type="pct"/>
            <w:tcBorders>
              <w:top w:val="nil"/>
              <w:left w:val="nil"/>
              <w:bottom w:val="single" w:sz="4" w:space="0" w:color="auto"/>
              <w:right w:val="nil"/>
            </w:tcBorders>
            <w:shd w:val="clear" w:color="auto" w:fill="D9D9D9" w:themeFill="background1" w:themeFillShade="D9"/>
            <w:noWrap/>
            <w:vAlign w:val="bottom"/>
            <w:hideMark/>
          </w:tcPr>
          <w:p w:rsidR="00510594" w:rsidRPr="00C67C91" w:rsidRDefault="00510594" w:rsidP="008C2F9C">
            <w:pPr>
              <w:spacing w:after="0" w:line="240" w:lineRule="auto"/>
              <w:ind w:right="219"/>
              <w:jc w:val="center"/>
              <w:rPr>
                <w:rFonts w:ascii="Arial" w:hAnsi="Arial" w:cs="Arial"/>
                <w:b/>
                <w:bCs/>
                <w:color w:val="000000"/>
                <w:sz w:val="18"/>
                <w:szCs w:val="18"/>
              </w:rPr>
            </w:pPr>
            <w:r w:rsidRPr="00C67C91">
              <w:rPr>
                <w:rFonts w:ascii="Arial" w:hAnsi="Arial" w:cs="Arial"/>
                <w:b/>
                <w:bCs/>
                <w:color w:val="000000"/>
                <w:sz w:val="18"/>
                <w:szCs w:val="18"/>
              </w:rPr>
              <w:t>31/12/2020</w:t>
            </w:r>
          </w:p>
        </w:tc>
        <w:tc>
          <w:tcPr>
            <w:tcW w:w="1250" w:type="pct"/>
            <w:tcBorders>
              <w:top w:val="nil"/>
              <w:left w:val="nil"/>
              <w:bottom w:val="single" w:sz="4" w:space="0" w:color="auto"/>
              <w:right w:val="nil"/>
            </w:tcBorders>
            <w:shd w:val="clear" w:color="auto" w:fill="D9D9D9" w:themeFill="background1" w:themeFillShade="D9"/>
            <w:noWrap/>
            <w:vAlign w:val="bottom"/>
            <w:hideMark/>
          </w:tcPr>
          <w:p w:rsidR="00510594" w:rsidRPr="00C67C91" w:rsidRDefault="00510594" w:rsidP="008C2F9C">
            <w:pPr>
              <w:spacing w:after="0" w:line="240" w:lineRule="auto"/>
              <w:ind w:right="219"/>
              <w:jc w:val="center"/>
              <w:rPr>
                <w:rFonts w:ascii="Arial" w:hAnsi="Arial" w:cs="Arial"/>
                <w:b/>
                <w:bCs/>
                <w:color w:val="000000"/>
                <w:sz w:val="18"/>
                <w:szCs w:val="18"/>
              </w:rPr>
            </w:pPr>
            <w:r w:rsidRPr="00C67C91">
              <w:rPr>
                <w:rFonts w:ascii="Arial" w:hAnsi="Arial" w:cs="Arial"/>
                <w:b/>
                <w:bCs/>
                <w:color w:val="000000"/>
                <w:sz w:val="18"/>
                <w:szCs w:val="18"/>
              </w:rPr>
              <w:t>31/12/2019</w:t>
            </w:r>
          </w:p>
        </w:tc>
      </w:tr>
      <w:tr w:rsidR="00510594" w:rsidRPr="00C67C91" w:rsidTr="008C2F9C">
        <w:trPr>
          <w:trHeight w:val="283"/>
          <w:jc w:val="center"/>
        </w:trPr>
        <w:tc>
          <w:tcPr>
            <w:tcW w:w="2584" w:type="pct"/>
            <w:tcBorders>
              <w:top w:val="single" w:sz="4" w:space="0" w:color="auto"/>
              <w:left w:val="nil"/>
              <w:right w:val="nil"/>
            </w:tcBorders>
            <w:noWrap/>
            <w:vAlign w:val="center"/>
            <w:hideMark/>
          </w:tcPr>
          <w:p w:rsidR="00510594" w:rsidRPr="00C67C91" w:rsidRDefault="00510594" w:rsidP="00FF0059">
            <w:pPr>
              <w:spacing w:after="0" w:line="240" w:lineRule="auto"/>
              <w:rPr>
                <w:rFonts w:ascii="Arial" w:hAnsi="Arial" w:cs="Arial"/>
                <w:color w:val="000000"/>
                <w:sz w:val="18"/>
                <w:szCs w:val="18"/>
              </w:rPr>
            </w:pPr>
            <w:r w:rsidRPr="00C67C91">
              <w:rPr>
                <w:rFonts w:ascii="Arial" w:hAnsi="Arial" w:cs="Arial"/>
                <w:color w:val="000000"/>
                <w:sz w:val="18"/>
                <w:szCs w:val="18"/>
              </w:rPr>
              <w:t>Reserva Legal</w:t>
            </w:r>
          </w:p>
        </w:tc>
        <w:tc>
          <w:tcPr>
            <w:tcW w:w="1166" w:type="pct"/>
            <w:tcBorders>
              <w:top w:val="single" w:sz="4" w:space="0" w:color="auto"/>
              <w:left w:val="nil"/>
              <w:right w:val="nil"/>
            </w:tcBorders>
            <w:noWrap/>
            <w:vAlign w:val="center"/>
            <w:hideMark/>
          </w:tcPr>
          <w:p w:rsidR="00510594" w:rsidRPr="00C67C91" w:rsidRDefault="00510594" w:rsidP="008C2F9C">
            <w:pPr>
              <w:spacing w:after="0" w:line="240" w:lineRule="auto"/>
              <w:ind w:right="219"/>
              <w:jc w:val="right"/>
              <w:rPr>
                <w:rFonts w:ascii="Arial" w:hAnsi="Arial" w:cs="Arial"/>
                <w:color w:val="000000"/>
                <w:sz w:val="18"/>
                <w:szCs w:val="18"/>
              </w:rPr>
            </w:pPr>
            <w:r w:rsidRPr="00C67C91">
              <w:rPr>
                <w:rFonts w:ascii="Arial" w:hAnsi="Arial" w:cs="Arial"/>
                <w:color w:val="000000"/>
                <w:sz w:val="18"/>
                <w:szCs w:val="18"/>
              </w:rPr>
              <w:t>82.427,45</w:t>
            </w:r>
          </w:p>
        </w:tc>
        <w:tc>
          <w:tcPr>
            <w:tcW w:w="1250" w:type="pct"/>
            <w:tcBorders>
              <w:top w:val="single" w:sz="4" w:space="0" w:color="auto"/>
              <w:left w:val="nil"/>
              <w:right w:val="nil"/>
            </w:tcBorders>
            <w:vAlign w:val="center"/>
            <w:hideMark/>
          </w:tcPr>
          <w:p w:rsidR="00510594" w:rsidRPr="00C67C91" w:rsidRDefault="00510594" w:rsidP="008C2F9C">
            <w:pPr>
              <w:spacing w:after="0" w:line="240" w:lineRule="auto"/>
              <w:ind w:right="219"/>
              <w:jc w:val="right"/>
              <w:rPr>
                <w:rFonts w:ascii="Arial" w:hAnsi="Arial" w:cs="Arial"/>
                <w:color w:val="000000"/>
                <w:sz w:val="18"/>
                <w:szCs w:val="18"/>
              </w:rPr>
            </w:pPr>
            <w:r w:rsidRPr="00C67C91">
              <w:rPr>
                <w:rFonts w:ascii="Arial" w:hAnsi="Arial" w:cs="Arial"/>
                <w:color w:val="000000"/>
                <w:sz w:val="18"/>
                <w:szCs w:val="18"/>
              </w:rPr>
              <w:t>63.905,19</w:t>
            </w:r>
          </w:p>
        </w:tc>
      </w:tr>
      <w:tr w:rsidR="00510594" w:rsidRPr="00C67C91" w:rsidTr="008C2F9C">
        <w:trPr>
          <w:trHeight w:val="283"/>
          <w:jc w:val="center"/>
        </w:trPr>
        <w:tc>
          <w:tcPr>
            <w:tcW w:w="2584" w:type="pct"/>
            <w:tcBorders>
              <w:top w:val="nil"/>
              <w:left w:val="nil"/>
              <w:bottom w:val="single" w:sz="4" w:space="0" w:color="auto"/>
              <w:right w:val="nil"/>
            </w:tcBorders>
            <w:noWrap/>
            <w:vAlign w:val="center"/>
            <w:hideMark/>
          </w:tcPr>
          <w:p w:rsidR="00510594" w:rsidRPr="00C67C91" w:rsidRDefault="00510594" w:rsidP="00FF0059">
            <w:pPr>
              <w:spacing w:after="0" w:line="240" w:lineRule="auto"/>
              <w:rPr>
                <w:rFonts w:ascii="Arial" w:hAnsi="Arial" w:cs="Arial"/>
                <w:color w:val="000000"/>
                <w:sz w:val="18"/>
                <w:szCs w:val="18"/>
              </w:rPr>
            </w:pPr>
            <w:r w:rsidRPr="00C67C91">
              <w:rPr>
                <w:rFonts w:ascii="Arial" w:hAnsi="Arial" w:cs="Arial"/>
                <w:color w:val="000000"/>
                <w:sz w:val="18"/>
                <w:szCs w:val="18"/>
              </w:rPr>
              <w:t>Reserva Voluntaria</w:t>
            </w:r>
          </w:p>
        </w:tc>
        <w:tc>
          <w:tcPr>
            <w:tcW w:w="1166" w:type="pct"/>
            <w:tcBorders>
              <w:top w:val="nil"/>
              <w:left w:val="nil"/>
              <w:bottom w:val="single" w:sz="4" w:space="0" w:color="auto"/>
              <w:right w:val="nil"/>
            </w:tcBorders>
            <w:noWrap/>
            <w:vAlign w:val="center"/>
            <w:hideMark/>
          </w:tcPr>
          <w:p w:rsidR="00510594" w:rsidRPr="00C67C91" w:rsidRDefault="00510594" w:rsidP="008C2F9C">
            <w:pPr>
              <w:spacing w:after="0" w:line="240" w:lineRule="auto"/>
              <w:ind w:right="219"/>
              <w:jc w:val="right"/>
              <w:rPr>
                <w:rFonts w:ascii="Arial" w:hAnsi="Arial" w:cs="Arial"/>
                <w:color w:val="000000"/>
                <w:sz w:val="18"/>
                <w:szCs w:val="18"/>
              </w:rPr>
            </w:pPr>
            <w:r w:rsidRPr="00C67C91">
              <w:rPr>
                <w:rFonts w:ascii="Arial" w:hAnsi="Arial" w:cs="Arial"/>
                <w:color w:val="000000"/>
                <w:sz w:val="18"/>
                <w:szCs w:val="18"/>
              </w:rPr>
              <w:t>859.720,81</w:t>
            </w:r>
          </w:p>
        </w:tc>
        <w:tc>
          <w:tcPr>
            <w:tcW w:w="1250" w:type="pct"/>
            <w:tcBorders>
              <w:top w:val="nil"/>
              <w:left w:val="nil"/>
              <w:bottom w:val="single" w:sz="4" w:space="0" w:color="auto"/>
              <w:right w:val="nil"/>
            </w:tcBorders>
            <w:vAlign w:val="center"/>
            <w:hideMark/>
          </w:tcPr>
          <w:p w:rsidR="00510594" w:rsidRPr="00C67C91" w:rsidRDefault="00510594" w:rsidP="008C2F9C">
            <w:pPr>
              <w:spacing w:after="0" w:line="240" w:lineRule="auto"/>
              <w:ind w:right="219"/>
              <w:jc w:val="right"/>
              <w:rPr>
                <w:rFonts w:ascii="Arial" w:hAnsi="Arial" w:cs="Arial"/>
                <w:color w:val="000000"/>
                <w:sz w:val="18"/>
                <w:szCs w:val="18"/>
              </w:rPr>
            </w:pPr>
            <w:r w:rsidRPr="00C67C91">
              <w:rPr>
                <w:rFonts w:ascii="Arial" w:hAnsi="Arial" w:cs="Arial"/>
                <w:color w:val="000000"/>
                <w:sz w:val="18"/>
                <w:szCs w:val="18"/>
              </w:rPr>
              <w:t>693.020,45</w:t>
            </w:r>
          </w:p>
        </w:tc>
      </w:tr>
      <w:tr w:rsidR="00510594" w:rsidRPr="00C67C91" w:rsidTr="008C2F9C">
        <w:trPr>
          <w:trHeight w:val="283"/>
          <w:jc w:val="center"/>
        </w:trPr>
        <w:tc>
          <w:tcPr>
            <w:tcW w:w="2584" w:type="pct"/>
            <w:tcBorders>
              <w:top w:val="single" w:sz="4" w:space="0" w:color="auto"/>
              <w:left w:val="nil"/>
              <w:bottom w:val="single" w:sz="4" w:space="0" w:color="auto"/>
              <w:right w:val="nil"/>
            </w:tcBorders>
            <w:shd w:val="clear" w:color="000000" w:fill="F2F2F2"/>
            <w:noWrap/>
            <w:vAlign w:val="center"/>
            <w:hideMark/>
          </w:tcPr>
          <w:p w:rsidR="00510594" w:rsidRPr="00C67C91" w:rsidRDefault="00510594" w:rsidP="00FF0059">
            <w:pPr>
              <w:spacing w:after="0" w:line="240" w:lineRule="auto"/>
              <w:rPr>
                <w:rFonts w:ascii="Arial" w:hAnsi="Arial" w:cs="Arial"/>
                <w:b/>
                <w:bCs/>
                <w:color w:val="000000"/>
                <w:sz w:val="18"/>
                <w:szCs w:val="18"/>
              </w:rPr>
            </w:pPr>
            <w:r w:rsidRPr="00C67C91">
              <w:rPr>
                <w:rFonts w:ascii="Arial" w:hAnsi="Arial" w:cs="Arial"/>
                <w:b/>
                <w:bCs/>
                <w:color w:val="000000"/>
                <w:sz w:val="18"/>
                <w:szCs w:val="18"/>
              </w:rPr>
              <w:t>Total</w:t>
            </w:r>
          </w:p>
        </w:tc>
        <w:tc>
          <w:tcPr>
            <w:tcW w:w="1166" w:type="pct"/>
            <w:tcBorders>
              <w:top w:val="single" w:sz="4" w:space="0" w:color="auto"/>
              <w:left w:val="nil"/>
              <w:bottom w:val="single" w:sz="4" w:space="0" w:color="auto"/>
              <w:right w:val="nil"/>
            </w:tcBorders>
            <w:shd w:val="clear" w:color="000000" w:fill="F2F2F2"/>
            <w:noWrap/>
            <w:vAlign w:val="center"/>
            <w:hideMark/>
          </w:tcPr>
          <w:p w:rsidR="00510594" w:rsidRPr="00C67C91" w:rsidRDefault="00510594" w:rsidP="008C2F9C">
            <w:pPr>
              <w:spacing w:after="0" w:line="240" w:lineRule="auto"/>
              <w:ind w:right="219"/>
              <w:jc w:val="right"/>
              <w:rPr>
                <w:rFonts w:ascii="Arial" w:hAnsi="Arial" w:cs="Arial"/>
                <w:b/>
                <w:bCs/>
                <w:color w:val="000000"/>
                <w:sz w:val="18"/>
                <w:szCs w:val="18"/>
              </w:rPr>
            </w:pPr>
            <w:r w:rsidRPr="00C67C91">
              <w:rPr>
                <w:rFonts w:ascii="Arial" w:hAnsi="Arial" w:cs="Arial"/>
                <w:b/>
                <w:bCs/>
                <w:color w:val="000000"/>
                <w:sz w:val="18"/>
                <w:szCs w:val="18"/>
              </w:rPr>
              <w:t>942.148,26</w:t>
            </w:r>
          </w:p>
        </w:tc>
        <w:tc>
          <w:tcPr>
            <w:tcW w:w="1250" w:type="pct"/>
            <w:tcBorders>
              <w:top w:val="single" w:sz="4" w:space="0" w:color="auto"/>
              <w:left w:val="nil"/>
              <w:bottom w:val="single" w:sz="4" w:space="0" w:color="auto"/>
              <w:right w:val="nil"/>
            </w:tcBorders>
            <w:shd w:val="clear" w:color="000000" w:fill="F2F2F2"/>
            <w:noWrap/>
            <w:vAlign w:val="center"/>
            <w:hideMark/>
          </w:tcPr>
          <w:p w:rsidR="00510594" w:rsidRPr="00C67C91" w:rsidRDefault="00510594" w:rsidP="008C2F9C">
            <w:pPr>
              <w:spacing w:after="0" w:line="240" w:lineRule="auto"/>
              <w:ind w:right="219"/>
              <w:jc w:val="right"/>
              <w:rPr>
                <w:rFonts w:ascii="Arial" w:hAnsi="Arial" w:cs="Arial"/>
                <w:b/>
                <w:bCs/>
                <w:color w:val="000000"/>
                <w:sz w:val="18"/>
                <w:szCs w:val="18"/>
              </w:rPr>
            </w:pPr>
            <w:r w:rsidRPr="00C67C91">
              <w:rPr>
                <w:rFonts w:ascii="Arial" w:hAnsi="Arial" w:cs="Arial"/>
                <w:b/>
                <w:bCs/>
                <w:color w:val="000000"/>
                <w:sz w:val="18"/>
                <w:szCs w:val="18"/>
              </w:rPr>
              <w:t>756.925,64</w:t>
            </w:r>
          </w:p>
        </w:tc>
      </w:tr>
    </w:tbl>
    <w:p w:rsidR="00336822" w:rsidRPr="00C67C91" w:rsidRDefault="00336822" w:rsidP="0020061C">
      <w:pPr>
        <w:pStyle w:val="CM23"/>
        <w:keepNext/>
        <w:keepLines/>
        <w:spacing w:before="120" w:after="0" w:line="260" w:lineRule="exact"/>
        <w:jc w:val="both"/>
        <w:rPr>
          <w:rFonts w:ascii="Arial" w:hAnsi="Arial" w:cs="Arial"/>
          <w:b/>
          <w:bCs/>
          <w:sz w:val="20"/>
          <w:szCs w:val="20"/>
        </w:rPr>
      </w:pPr>
      <w:r w:rsidRPr="00C67C91">
        <w:rPr>
          <w:rFonts w:ascii="Arial" w:hAnsi="Arial" w:cs="Arial"/>
          <w:b/>
          <w:bCs/>
          <w:sz w:val="20"/>
          <w:szCs w:val="20"/>
          <w:u w:val="single"/>
        </w:rPr>
        <w:t>Aplicación del resultado</w:t>
      </w:r>
    </w:p>
    <w:p w:rsidR="002A6B41" w:rsidRPr="00C67C91" w:rsidRDefault="003F6896" w:rsidP="008C2F9C">
      <w:pPr>
        <w:keepNext/>
        <w:keepLines/>
        <w:widowControl w:val="0"/>
        <w:spacing w:before="120" w:after="120" w:line="260" w:lineRule="exact"/>
        <w:jc w:val="both"/>
        <w:rPr>
          <w:rFonts w:ascii="Arial" w:hAnsi="Arial" w:cs="Arial"/>
          <w:sz w:val="20"/>
          <w:szCs w:val="20"/>
        </w:rPr>
      </w:pPr>
      <w:r w:rsidRPr="00C67C91">
        <w:rPr>
          <w:rFonts w:ascii="Arial" w:hAnsi="Arial" w:cs="Arial"/>
          <w:sz w:val="20"/>
          <w:szCs w:val="20"/>
        </w:rPr>
        <w:t>La propuesta de distribución del resultad</w:t>
      </w:r>
      <w:r w:rsidR="00B51ABC" w:rsidRPr="00C67C91">
        <w:rPr>
          <w:rFonts w:ascii="Arial" w:hAnsi="Arial" w:cs="Arial"/>
          <w:sz w:val="20"/>
          <w:szCs w:val="20"/>
        </w:rPr>
        <w:t>o del ejercicio finalizado el 31 de diciembre</w:t>
      </w:r>
      <w:r w:rsidRPr="00C67C91">
        <w:rPr>
          <w:rFonts w:ascii="Arial" w:hAnsi="Arial" w:cs="Arial"/>
          <w:sz w:val="20"/>
          <w:szCs w:val="20"/>
        </w:rPr>
        <w:t xml:space="preserve"> de 20</w:t>
      </w:r>
      <w:r w:rsidR="00E72FA8" w:rsidRPr="00C67C91">
        <w:rPr>
          <w:rFonts w:ascii="Arial" w:hAnsi="Arial" w:cs="Arial"/>
          <w:sz w:val="20"/>
          <w:szCs w:val="20"/>
        </w:rPr>
        <w:t xml:space="preserve">20 </w:t>
      </w:r>
      <w:r w:rsidR="00B51ABC" w:rsidRPr="00C67C91">
        <w:rPr>
          <w:rFonts w:ascii="Arial" w:hAnsi="Arial" w:cs="Arial"/>
          <w:sz w:val="20"/>
          <w:szCs w:val="20"/>
        </w:rPr>
        <w:t>y 201</w:t>
      </w:r>
      <w:r w:rsidR="00E72FA8" w:rsidRPr="00C67C91">
        <w:rPr>
          <w:rFonts w:ascii="Arial" w:hAnsi="Arial" w:cs="Arial"/>
          <w:sz w:val="20"/>
          <w:szCs w:val="20"/>
        </w:rPr>
        <w:t>9</w:t>
      </w:r>
      <w:r w:rsidRPr="00C67C91">
        <w:rPr>
          <w:rFonts w:ascii="Arial" w:hAnsi="Arial" w:cs="Arial"/>
          <w:sz w:val="20"/>
          <w:szCs w:val="20"/>
        </w:rPr>
        <w:t>, formulada por el Administrador Único, es la que se muestra a continuación, en euros:</w:t>
      </w:r>
    </w:p>
    <w:tbl>
      <w:tblPr>
        <w:tblW w:w="5000" w:type="pct"/>
        <w:jc w:val="center"/>
        <w:tblCellMar>
          <w:left w:w="70" w:type="dxa"/>
          <w:right w:w="70" w:type="dxa"/>
        </w:tblCellMar>
        <w:tblLook w:val="04A0"/>
      </w:tblPr>
      <w:tblGrid>
        <w:gridCol w:w="4815"/>
        <w:gridCol w:w="1914"/>
        <w:gridCol w:w="1916"/>
      </w:tblGrid>
      <w:tr w:rsidR="00510594" w:rsidRPr="00C67C91" w:rsidTr="008C2F9C">
        <w:trPr>
          <w:trHeight w:val="283"/>
          <w:jc w:val="center"/>
        </w:trPr>
        <w:tc>
          <w:tcPr>
            <w:tcW w:w="2785" w:type="pct"/>
            <w:tcBorders>
              <w:top w:val="nil"/>
              <w:left w:val="nil"/>
              <w:bottom w:val="single" w:sz="4" w:space="0" w:color="auto"/>
              <w:right w:val="nil"/>
            </w:tcBorders>
            <w:shd w:val="clear" w:color="auto" w:fill="D9D9D9" w:themeFill="background1" w:themeFillShade="D9"/>
            <w:vAlign w:val="bottom"/>
            <w:hideMark/>
          </w:tcPr>
          <w:p w:rsidR="00510594" w:rsidRPr="00C67C91" w:rsidRDefault="00510594" w:rsidP="004B7ABD">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Base de reparto</w:t>
            </w:r>
          </w:p>
        </w:tc>
        <w:tc>
          <w:tcPr>
            <w:tcW w:w="1107" w:type="pct"/>
            <w:tcBorders>
              <w:top w:val="nil"/>
              <w:left w:val="nil"/>
              <w:bottom w:val="single" w:sz="4" w:space="0" w:color="auto"/>
              <w:right w:val="nil"/>
            </w:tcBorders>
            <w:shd w:val="clear" w:color="auto" w:fill="D9D9D9" w:themeFill="background1" w:themeFillShade="D9"/>
            <w:vAlign w:val="bottom"/>
            <w:hideMark/>
          </w:tcPr>
          <w:p w:rsidR="00510594" w:rsidRPr="00C67C91" w:rsidRDefault="00510594" w:rsidP="008C2F9C">
            <w:pPr>
              <w:spacing w:after="0" w:line="240" w:lineRule="auto"/>
              <w:ind w:right="176"/>
              <w:jc w:val="center"/>
              <w:rPr>
                <w:rFonts w:ascii="Arial" w:hAnsi="Arial" w:cs="Arial"/>
                <w:b/>
                <w:bCs/>
                <w:color w:val="000000"/>
                <w:sz w:val="18"/>
                <w:szCs w:val="18"/>
              </w:rPr>
            </w:pPr>
            <w:r w:rsidRPr="00C67C91">
              <w:rPr>
                <w:rFonts w:ascii="Arial" w:hAnsi="Arial" w:cs="Arial"/>
                <w:b/>
                <w:bCs/>
                <w:color w:val="000000"/>
                <w:sz w:val="18"/>
                <w:szCs w:val="18"/>
              </w:rPr>
              <w:t>2020</w:t>
            </w:r>
          </w:p>
        </w:tc>
        <w:tc>
          <w:tcPr>
            <w:tcW w:w="1108" w:type="pct"/>
            <w:tcBorders>
              <w:top w:val="nil"/>
              <w:left w:val="nil"/>
              <w:bottom w:val="single" w:sz="4" w:space="0" w:color="auto"/>
              <w:right w:val="nil"/>
            </w:tcBorders>
            <w:shd w:val="clear" w:color="auto" w:fill="D9D9D9" w:themeFill="background1" w:themeFillShade="D9"/>
            <w:vAlign w:val="bottom"/>
            <w:hideMark/>
          </w:tcPr>
          <w:p w:rsidR="00510594" w:rsidRPr="00C67C91" w:rsidRDefault="00510594" w:rsidP="008C2F9C">
            <w:pPr>
              <w:spacing w:after="0" w:line="240" w:lineRule="auto"/>
              <w:ind w:right="176"/>
              <w:jc w:val="center"/>
              <w:rPr>
                <w:rFonts w:ascii="Arial" w:hAnsi="Arial" w:cs="Arial"/>
                <w:b/>
                <w:bCs/>
                <w:color w:val="000000"/>
                <w:sz w:val="18"/>
                <w:szCs w:val="18"/>
              </w:rPr>
            </w:pPr>
            <w:r w:rsidRPr="00C67C91">
              <w:rPr>
                <w:rFonts w:ascii="Arial" w:hAnsi="Arial" w:cs="Arial"/>
                <w:b/>
                <w:bCs/>
                <w:color w:val="000000"/>
                <w:sz w:val="18"/>
                <w:szCs w:val="18"/>
              </w:rPr>
              <w:t>2019</w:t>
            </w:r>
          </w:p>
        </w:tc>
      </w:tr>
      <w:tr w:rsidR="00510594" w:rsidRPr="00C67C91" w:rsidTr="008C2F9C">
        <w:trPr>
          <w:trHeight w:val="283"/>
          <w:jc w:val="center"/>
        </w:trPr>
        <w:tc>
          <w:tcPr>
            <w:tcW w:w="2785" w:type="pct"/>
            <w:tcBorders>
              <w:top w:val="single" w:sz="4" w:space="0" w:color="auto"/>
              <w:left w:val="nil"/>
              <w:bottom w:val="single" w:sz="4" w:space="0" w:color="auto"/>
              <w:right w:val="nil"/>
            </w:tcBorders>
            <w:vAlign w:val="center"/>
            <w:hideMark/>
          </w:tcPr>
          <w:p w:rsidR="00510594" w:rsidRPr="00C67C91" w:rsidRDefault="00510594" w:rsidP="004B7ABD">
            <w:pPr>
              <w:spacing w:after="0" w:line="240" w:lineRule="auto"/>
              <w:ind w:firstLineChars="100" w:firstLine="180"/>
              <w:rPr>
                <w:rFonts w:ascii="Arial" w:hAnsi="Arial" w:cs="Arial"/>
                <w:color w:val="000000"/>
                <w:sz w:val="18"/>
                <w:szCs w:val="18"/>
              </w:rPr>
            </w:pPr>
            <w:r w:rsidRPr="00C67C91">
              <w:rPr>
                <w:rFonts w:ascii="Arial" w:hAnsi="Arial" w:cs="Arial"/>
                <w:color w:val="000000"/>
                <w:sz w:val="18"/>
                <w:szCs w:val="18"/>
              </w:rPr>
              <w:t>Resultado del ejercicio</w:t>
            </w:r>
          </w:p>
        </w:tc>
        <w:tc>
          <w:tcPr>
            <w:tcW w:w="1107" w:type="pct"/>
            <w:tcBorders>
              <w:top w:val="single" w:sz="4" w:space="0" w:color="auto"/>
              <w:left w:val="nil"/>
              <w:bottom w:val="single" w:sz="4" w:space="0" w:color="auto"/>
              <w:right w:val="nil"/>
            </w:tcBorders>
            <w:vAlign w:val="center"/>
            <w:hideMark/>
          </w:tcPr>
          <w:p w:rsidR="00510594" w:rsidRPr="00C67C91" w:rsidRDefault="004B7ABD" w:rsidP="008C2F9C">
            <w:pPr>
              <w:spacing w:after="0" w:line="240" w:lineRule="auto"/>
              <w:ind w:right="176"/>
              <w:jc w:val="right"/>
              <w:rPr>
                <w:rFonts w:ascii="Arial" w:hAnsi="Arial" w:cs="Arial"/>
                <w:color w:val="000000"/>
                <w:sz w:val="18"/>
                <w:szCs w:val="18"/>
              </w:rPr>
            </w:pPr>
            <w:r>
              <w:rPr>
                <w:rFonts w:ascii="Arial" w:hAnsi="Arial" w:cs="Arial"/>
                <w:color w:val="000000"/>
                <w:sz w:val="18"/>
                <w:szCs w:val="18"/>
              </w:rPr>
              <w:t>-</w:t>
            </w:r>
            <w:r w:rsidR="00F2792E" w:rsidRPr="00C67C91">
              <w:rPr>
                <w:rFonts w:ascii="Arial" w:hAnsi="Arial" w:cs="Arial"/>
                <w:color w:val="000000"/>
                <w:sz w:val="18"/>
                <w:szCs w:val="18"/>
              </w:rPr>
              <w:t>41.093,13</w:t>
            </w:r>
          </w:p>
        </w:tc>
        <w:tc>
          <w:tcPr>
            <w:tcW w:w="1108" w:type="pct"/>
            <w:tcBorders>
              <w:top w:val="single" w:sz="4" w:space="0" w:color="auto"/>
              <w:left w:val="nil"/>
              <w:bottom w:val="single" w:sz="4" w:space="0" w:color="auto"/>
              <w:right w:val="nil"/>
            </w:tcBorders>
            <w:vAlign w:val="center"/>
            <w:hideMark/>
          </w:tcPr>
          <w:p w:rsidR="00510594" w:rsidRPr="00C67C91" w:rsidRDefault="00510594" w:rsidP="008C2F9C">
            <w:pPr>
              <w:spacing w:after="0" w:line="240" w:lineRule="auto"/>
              <w:ind w:right="176"/>
              <w:jc w:val="right"/>
              <w:rPr>
                <w:rFonts w:ascii="Arial" w:hAnsi="Arial" w:cs="Arial"/>
                <w:color w:val="000000"/>
                <w:sz w:val="18"/>
                <w:szCs w:val="18"/>
              </w:rPr>
            </w:pPr>
            <w:r w:rsidRPr="00C67C91">
              <w:rPr>
                <w:rFonts w:ascii="Arial" w:hAnsi="Arial" w:cs="Arial"/>
                <w:color w:val="000000"/>
                <w:sz w:val="18"/>
                <w:szCs w:val="18"/>
              </w:rPr>
              <w:t>185.222,62</w:t>
            </w:r>
          </w:p>
        </w:tc>
      </w:tr>
      <w:tr w:rsidR="00510594" w:rsidRPr="00C67C91" w:rsidTr="008C2F9C">
        <w:trPr>
          <w:trHeight w:val="283"/>
          <w:jc w:val="center"/>
        </w:trPr>
        <w:tc>
          <w:tcPr>
            <w:tcW w:w="2785" w:type="pct"/>
            <w:tcBorders>
              <w:top w:val="nil"/>
              <w:left w:val="nil"/>
              <w:bottom w:val="nil"/>
              <w:right w:val="nil"/>
            </w:tcBorders>
            <w:shd w:val="clear" w:color="auto" w:fill="F2F2F2" w:themeFill="background1" w:themeFillShade="F2"/>
            <w:vAlign w:val="center"/>
            <w:hideMark/>
          </w:tcPr>
          <w:p w:rsidR="00510594" w:rsidRPr="00C67C91" w:rsidRDefault="00510594"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Distribución a:</w:t>
            </w:r>
          </w:p>
        </w:tc>
        <w:tc>
          <w:tcPr>
            <w:tcW w:w="1107" w:type="pct"/>
            <w:tcBorders>
              <w:top w:val="nil"/>
              <w:left w:val="nil"/>
              <w:bottom w:val="nil"/>
              <w:right w:val="nil"/>
            </w:tcBorders>
            <w:shd w:val="clear" w:color="auto" w:fill="F2F2F2" w:themeFill="background1" w:themeFillShade="F2"/>
            <w:vAlign w:val="center"/>
            <w:hideMark/>
          </w:tcPr>
          <w:p w:rsidR="00510594" w:rsidRPr="00C67C91" w:rsidRDefault="00510594" w:rsidP="008C2F9C">
            <w:pPr>
              <w:spacing w:after="0" w:line="240" w:lineRule="auto"/>
              <w:ind w:right="176"/>
              <w:jc w:val="right"/>
              <w:rPr>
                <w:rFonts w:ascii="Arial" w:hAnsi="Arial" w:cs="Arial"/>
                <w:b/>
                <w:bCs/>
                <w:color w:val="000000"/>
                <w:sz w:val="18"/>
                <w:szCs w:val="18"/>
              </w:rPr>
            </w:pPr>
          </w:p>
        </w:tc>
        <w:tc>
          <w:tcPr>
            <w:tcW w:w="1108" w:type="pct"/>
            <w:tcBorders>
              <w:top w:val="nil"/>
              <w:left w:val="nil"/>
              <w:bottom w:val="nil"/>
              <w:right w:val="nil"/>
            </w:tcBorders>
            <w:shd w:val="clear" w:color="auto" w:fill="F2F2F2" w:themeFill="background1" w:themeFillShade="F2"/>
            <w:vAlign w:val="center"/>
            <w:hideMark/>
          </w:tcPr>
          <w:p w:rsidR="00510594" w:rsidRPr="00C67C91" w:rsidRDefault="00510594" w:rsidP="008C2F9C">
            <w:pPr>
              <w:spacing w:after="0" w:line="240" w:lineRule="auto"/>
              <w:ind w:right="176"/>
              <w:jc w:val="right"/>
              <w:rPr>
                <w:rFonts w:ascii="Arial" w:hAnsi="Arial" w:cs="Arial"/>
                <w:sz w:val="18"/>
                <w:szCs w:val="18"/>
              </w:rPr>
            </w:pPr>
          </w:p>
        </w:tc>
      </w:tr>
      <w:tr w:rsidR="00510594" w:rsidRPr="00C67C91" w:rsidTr="008C2F9C">
        <w:trPr>
          <w:trHeight w:val="283"/>
          <w:jc w:val="center"/>
        </w:trPr>
        <w:tc>
          <w:tcPr>
            <w:tcW w:w="2785" w:type="pct"/>
            <w:tcBorders>
              <w:top w:val="nil"/>
              <w:left w:val="nil"/>
              <w:bottom w:val="nil"/>
              <w:right w:val="nil"/>
            </w:tcBorders>
            <w:noWrap/>
            <w:vAlign w:val="center"/>
            <w:hideMark/>
          </w:tcPr>
          <w:p w:rsidR="00510594" w:rsidRPr="00C67C91" w:rsidRDefault="00510594" w:rsidP="00A02770">
            <w:pPr>
              <w:spacing w:after="0" w:line="240" w:lineRule="auto"/>
              <w:ind w:firstLineChars="100" w:firstLine="180"/>
              <w:rPr>
                <w:rFonts w:ascii="Arial" w:hAnsi="Arial" w:cs="Arial"/>
                <w:color w:val="000000"/>
                <w:sz w:val="18"/>
                <w:szCs w:val="18"/>
              </w:rPr>
            </w:pPr>
            <w:r w:rsidRPr="00C67C91">
              <w:rPr>
                <w:rFonts w:ascii="Arial" w:hAnsi="Arial" w:cs="Arial"/>
                <w:color w:val="000000"/>
                <w:sz w:val="18"/>
                <w:szCs w:val="18"/>
              </w:rPr>
              <w:t>Reserva Legal</w:t>
            </w:r>
          </w:p>
        </w:tc>
        <w:tc>
          <w:tcPr>
            <w:tcW w:w="1107" w:type="pct"/>
            <w:tcBorders>
              <w:top w:val="nil"/>
              <w:left w:val="nil"/>
              <w:bottom w:val="nil"/>
              <w:right w:val="nil"/>
            </w:tcBorders>
            <w:noWrap/>
            <w:vAlign w:val="center"/>
            <w:hideMark/>
          </w:tcPr>
          <w:p w:rsidR="00510594" w:rsidRPr="00C67C91" w:rsidRDefault="00510594" w:rsidP="008C2F9C">
            <w:pPr>
              <w:spacing w:after="0" w:line="240" w:lineRule="auto"/>
              <w:ind w:right="176" w:firstLineChars="100" w:firstLine="180"/>
              <w:jc w:val="right"/>
              <w:rPr>
                <w:rFonts w:ascii="Arial" w:hAnsi="Arial" w:cs="Arial"/>
                <w:color w:val="000000"/>
                <w:sz w:val="18"/>
                <w:szCs w:val="18"/>
              </w:rPr>
            </w:pPr>
            <w:r w:rsidRPr="00C67C91">
              <w:rPr>
                <w:rFonts w:ascii="Arial" w:hAnsi="Arial" w:cs="Arial"/>
                <w:color w:val="000000"/>
                <w:sz w:val="18"/>
                <w:szCs w:val="18"/>
              </w:rPr>
              <w:t>-</w:t>
            </w:r>
          </w:p>
        </w:tc>
        <w:tc>
          <w:tcPr>
            <w:tcW w:w="1108" w:type="pct"/>
            <w:tcBorders>
              <w:top w:val="nil"/>
              <w:left w:val="nil"/>
              <w:bottom w:val="nil"/>
              <w:right w:val="nil"/>
            </w:tcBorders>
            <w:vAlign w:val="center"/>
            <w:hideMark/>
          </w:tcPr>
          <w:p w:rsidR="00510594" w:rsidRPr="00C67C91" w:rsidRDefault="00510594" w:rsidP="008C2F9C">
            <w:pPr>
              <w:spacing w:after="0" w:line="240" w:lineRule="auto"/>
              <w:ind w:right="176"/>
              <w:jc w:val="right"/>
              <w:rPr>
                <w:rFonts w:ascii="Arial" w:hAnsi="Arial" w:cs="Arial"/>
                <w:color w:val="000000"/>
                <w:sz w:val="18"/>
                <w:szCs w:val="18"/>
              </w:rPr>
            </w:pPr>
            <w:r w:rsidRPr="00C67C91">
              <w:rPr>
                <w:rFonts w:ascii="Arial" w:hAnsi="Arial" w:cs="Arial"/>
                <w:color w:val="000000"/>
                <w:sz w:val="18"/>
                <w:szCs w:val="18"/>
              </w:rPr>
              <w:t>18.522,26</w:t>
            </w:r>
          </w:p>
        </w:tc>
      </w:tr>
      <w:tr w:rsidR="00510594" w:rsidRPr="00C67C91" w:rsidTr="008C2F9C">
        <w:trPr>
          <w:trHeight w:val="283"/>
          <w:jc w:val="center"/>
        </w:trPr>
        <w:tc>
          <w:tcPr>
            <w:tcW w:w="2785" w:type="pct"/>
            <w:tcBorders>
              <w:top w:val="nil"/>
              <w:left w:val="nil"/>
              <w:right w:val="nil"/>
            </w:tcBorders>
            <w:noWrap/>
            <w:vAlign w:val="center"/>
            <w:hideMark/>
          </w:tcPr>
          <w:p w:rsidR="00510594" w:rsidRPr="00C67C91" w:rsidRDefault="00510594" w:rsidP="00A02770">
            <w:pPr>
              <w:spacing w:after="0" w:line="240" w:lineRule="auto"/>
              <w:ind w:firstLineChars="100" w:firstLine="180"/>
              <w:rPr>
                <w:rFonts w:ascii="Arial" w:hAnsi="Arial" w:cs="Arial"/>
                <w:color w:val="000000"/>
                <w:sz w:val="18"/>
                <w:szCs w:val="18"/>
              </w:rPr>
            </w:pPr>
            <w:r w:rsidRPr="00C67C91">
              <w:rPr>
                <w:rFonts w:ascii="Arial" w:hAnsi="Arial" w:cs="Arial"/>
                <w:color w:val="000000"/>
                <w:sz w:val="18"/>
                <w:szCs w:val="18"/>
              </w:rPr>
              <w:t>Reserva Voluntaria</w:t>
            </w:r>
          </w:p>
        </w:tc>
        <w:tc>
          <w:tcPr>
            <w:tcW w:w="1107" w:type="pct"/>
            <w:tcBorders>
              <w:top w:val="nil"/>
              <w:left w:val="nil"/>
              <w:right w:val="nil"/>
            </w:tcBorders>
            <w:noWrap/>
            <w:vAlign w:val="center"/>
            <w:hideMark/>
          </w:tcPr>
          <w:p w:rsidR="00510594" w:rsidRPr="00C67C91" w:rsidRDefault="00510594" w:rsidP="008C2F9C">
            <w:pPr>
              <w:spacing w:after="0" w:line="240" w:lineRule="auto"/>
              <w:ind w:right="176" w:firstLineChars="100" w:firstLine="180"/>
              <w:jc w:val="right"/>
              <w:rPr>
                <w:rFonts w:ascii="Arial" w:hAnsi="Arial" w:cs="Arial"/>
                <w:color w:val="000000"/>
                <w:sz w:val="18"/>
                <w:szCs w:val="18"/>
              </w:rPr>
            </w:pPr>
            <w:r w:rsidRPr="00C67C91">
              <w:rPr>
                <w:rFonts w:ascii="Arial" w:hAnsi="Arial" w:cs="Arial"/>
                <w:color w:val="000000"/>
                <w:sz w:val="18"/>
                <w:szCs w:val="18"/>
              </w:rPr>
              <w:t>-</w:t>
            </w:r>
          </w:p>
        </w:tc>
        <w:tc>
          <w:tcPr>
            <w:tcW w:w="1108" w:type="pct"/>
            <w:tcBorders>
              <w:top w:val="nil"/>
              <w:left w:val="nil"/>
              <w:right w:val="nil"/>
            </w:tcBorders>
            <w:noWrap/>
            <w:vAlign w:val="center"/>
            <w:hideMark/>
          </w:tcPr>
          <w:p w:rsidR="00510594" w:rsidRPr="00C67C91" w:rsidRDefault="00510594" w:rsidP="008C2F9C">
            <w:pPr>
              <w:spacing w:after="0" w:line="240" w:lineRule="auto"/>
              <w:ind w:right="176"/>
              <w:jc w:val="right"/>
              <w:rPr>
                <w:rFonts w:ascii="Arial" w:hAnsi="Arial" w:cs="Arial"/>
                <w:color w:val="000000"/>
                <w:sz w:val="18"/>
                <w:szCs w:val="18"/>
              </w:rPr>
            </w:pPr>
            <w:r w:rsidRPr="00C67C91">
              <w:rPr>
                <w:rFonts w:ascii="Arial" w:hAnsi="Arial" w:cs="Arial"/>
                <w:color w:val="000000"/>
                <w:sz w:val="18"/>
                <w:szCs w:val="18"/>
              </w:rPr>
              <w:t>166.700,36</w:t>
            </w:r>
          </w:p>
        </w:tc>
      </w:tr>
      <w:tr w:rsidR="00510594" w:rsidRPr="00C67C91" w:rsidTr="008C2F9C">
        <w:trPr>
          <w:trHeight w:val="283"/>
          <w:jc w:val="center"/>
        </w:trPr>
        <w:tc>
          <w:tcPr>
            <w:tcW w:w="2785" w:type="pct"/>
            <w:tcBorders>
              <w:top w:val="nil"/>
              <w:left w:val="nil"/>
              <w:bottom w:val="single" w:sz="4" w:space="0" w:color="auto"/>
              <w:right w:val="nil"/>
            </w:tcBorders>
            <w:noWrap/>
            <w:vAlign w:val="center"/>
            <w:hideMark/>
          </w:tcPr>
          <w:p w:rsidR="00510594" w:rsidRPr="00C67C91" w:rsidRDefault="00510594" w:rsidP="00A02770">
            <w:pPr>
              <w:spacing w:after="0" w:line="240" w:lineRule="auto"/>
              <w:ind w:firstLineChars="100" w:firstLine="180"/>
              <w:rPr>
                <w:rFonts w:ascii="Arial" w:hAnsi="Arial" w:cs="Arial"/>
                <w:color w:val="000000"/>
                <w:sz w:val="18"/>
                <w:szCs w:val="18"/>
              </w:rPr>
            </w:pPr>
            <w:r w:rsidRPr="00C67C91">
              <w:rPr>
                <w:rFonts w:ascii="Arial" w:hAnsi="Arial" w:cs="Arial"/>
                <w:color w:val="000000"/>
                <w:sz w:val="18"/>
                <w:szCs w:val="18"/>
              </w:rPr>
              <w:t>Resultado negativo de ejercicios anteriores</w:t>
            </w:r>
          </w:p>
        </w:tc>
        <w:tc>
          <w:tcPr>
            <w:tcW w:w="1107" w:type="pct"/>
            <w:tcBorders>
              <w:top w:val="nil"/>
              <w:left w:val="nil"/>
              <w:bottom w:val="single" w:sz="4" w:space="0" w:color="auto"/>
              <w:right w:val="nil"/>
            </w:tcBorders>
            <w:noWrap/>
            <w:vAlign w:val="center"/>
            <w:hideMark/>
          </w:tcPr>
          <w:p w:rsidR="00510594" w:rsidRPr="00C67C91" w:rsidRDefault="004B7ABD" w:rsidP="008C2F9C">
            <w:pPr>
              <w:spacing w:after="0" w:line="240" w:lineRule="auto"/>
              <w:ind w:right="176"/>
              <w:jc w:val="right"/>
              <w:rPr>
                <w:rFonts w:ascii="Arial" w:hAnsi="Arial" w:cs="Arial"/>
                <w:color w:val="000000"/>
                <w:sz w:val="18"/>
                <w:szCs w:val="18"/>
              </w:rPr>
            </w:pPr>
            <w:r>
              <w:rPr>
                <w:rFonts w:ascii="Arial" w:hAnsi="Arial" w:cs="Arial"/>
                <w:color w:val="000000"/>
                <w:sz w:val="18"/>
                <w:szCs w:val="18"/>
              </w:rPr>
              <w:t>-</w:t>
            </w:r>
            <w:r w:rsidR="00F2792E" w:rsidRPr="00C67C91">
              <w:rPr>
                <w:rFonts w:ascii="Arial" w:hAnsi="Arial" w:cs="Arial"/>
                <w:color w:val="000000"/>
                <w:sz w:val="18"/>
                <w:szCs w:val="18"/>
              </w:rPr>
              <w:t>41.093,13</w:t>
            </w:r>
          </w:p>
        </w:tc>
        <w:tc>
          <w:tcPr>
            <w:tcW w:w="1108" w:type="pct"/>
            <w:tcBorders>
              <w:top w:val="nil"/>
              <w:left w:val="nil"/>
              <w:bottom w:val="single" w:sz="4" w:space="0" w:color="auto"/>
              <w:right w:val="nil"/>
            </w:tcBorders>
            <w:noWrap/>
            <w:vAlign w:val="center"/>
            <w:hideMark/>
          </w:tcPr>
          <w:p w:rsidR="00510594" w:rsidRPr="00C67C91" w:rsidRDefault="00510594" w:rsidP="008C2F9C">
            <w:pPr>
              <w:spacing w:after="0" w:line="240" w:lineRule="auto"/>
              <w:ind w:right="176"/>
              <w:jc w:val="right"/>
              <w:rPr>
                <w:rFonts w:ascii="Arial" w:hAnsi="Arial" w:cs="Arial"/>
                <w:color w:val="000000"/>
                <w:sz w:val="18"/>
                <w:szCs w:val="18"/>
              </w:rPr>
            </w:pPr>
            <w:r w:rsidRPr="00C67C91">
              <w:rPr>
                <w:rFonts w:ascii="Arial" w:hAnsi="Arial" w:cs="Arial"/>
                <w:color w:val="000000"/>
                <w:sz w:val="18"/>
                <w:szCs w:val="18"/>
              </w:rPr>
              <w:t>-</w:t>
            </w:r>
          </w:p>
        </w:tc>
      </w:tr>
    </w:tbl>
    <w:p w:rsidR="00CD65A7" w:rsidRPr="00C67C91" w:rsidRDefault="00CD65A7" w:rsidP="00A02770">
      <w:pPr>
        <w:pStyle w:val="Default"/>
        <w:rPr>
          <w:rFonts w:ascii="Arial" w:hAnsi="Arial" w:cs="Arial"/>
          <w:sz w:val="20"/>
          <w:szCs w:val="20"/>
        </w:rPr>
      </w:pPr>
    </w:p>
    <w:p w:rsidR="00336822" w:rsidRPr="00C67C91" w:rsidRDefault="00336822" w:rsidP="008C2F9C">
      <w:pPr>
        <w:pStyle w:val="CM20"/>
        <w:spacing w:before="240" w:after="0" w:line="260" w:lineRule="exact"/>
        <w:ind w:left="284" w:hanging="284"/>
        <w:jc w:val="both"/>
        <w:rPr>
          <w:rFonts w:ascii="Arial" w:hAnsi="Arial" w:cs="Arial"/>
          <w:b/>
          <w:bCs/>
          <w:sz w:val="20"/>
          <w:szCs w:val="20"/>
        </w:rPr>
      </w:pPr>
      <w:r w:rsidRPr="00C67C91">
        <w:rPr>
          <w:rFonts w:ascii="Arial" w:hAnsi="Arial" w:cs="Arial"/>
          <w:b/>
          <w:bCs/>
          <w:sz w:val="20"/>
          <w:szCs w:val="20"/>
        </w:rPr>
        <w:t>8.-</w:t>
      </w:r>
      <w:r w:rsidR="00203EFC">
        <w:rPr>
          <w:rFonts w:ascii="Arial" w:hAnsi="Arial" w:cs="Arial"/>
          <w:b/>
          <w:bCs/>
          <w:sz w:val="20"/>
          <w:szCs w:val="20"/>
        </w:rPr>
        <w:t xml:space="preserve"> </w:t>
      </w:r>
      <w:r w:rsidRPr="00C67C91">
        <w:rPr>
          <w:rFonts w:ascii="Arial" w:hAnsi="Arial" w:cs="Arial"/>
          <w:b/>
          <w:bCs/>
          <w:sz w:val="20"/>
          <w:szCs w:val="20"/>
        </w:rPr>
        <w:t xml:space="preserve">SITUACIÓN FISCAL </w:t>
      </w:r>
    </w:p>
    <w:p w:rsidR="00B51ABC" w:rsidRPr="008C2F9C" w:rsidRDefault="00B51ABC" w:rsidP="008C2F9C">
      <w:pPr>
        <w:keepNext/>
        <w:keepLines/>
        <w:widowControl w:val="0"/>
        <w:spacing w:before="120" w:after="120" w:line="260" w:lineRule="exact"/>
        <w:jc w:val="both"/>
        <w:rPr>
          <w:rFonts w:ascii="Arial" w:hAnsi="Arial" w:cs="Arial"/>
          <w:sz w:val="20"/>
          <w:szCs w:val="20"/>
        </w:rPr>
      </w:pPr>
      <w:r w:rsidRPr="00C67C91">
        <w:rPr>
          <w:rFonts w:ascii="Arial" w:hAnsi="Arial" w:cs="Arial"/>
          <w:sz w:val="20"/>
          <w:szCs w:val="20"/>
        </w:rPr>
        <w:t xml:space="preserve">El detalle de los saldos mantenidos con las Administraciones Públicas al 31 de diciembre es el </w:t>
      </w:r>
      <w:r w:rsidRPr="008C2F9C">
        <w:rPr>
          <w:rFonts w:ascii="Arial" w:hAnsi="Arial" w:cs="Arial"/>
          <w:sz w:val="20"/>
          <w:szCs w:val="20"/>
        </w:rPr>
        <w:t>siguiente, en euros:</w:t>
      </w:r>
    </w:p>
    <w:tbl>
      <w:tblPr>
        <w:tblW w:w="5000" w:type="pct"/>
        <w:tblCellMar>
          <w:left w:w="70" w:type="dxa"/>
          <w:right w:w="70" w:type="dxa"/>
        </w:tblCellMar>
        <w:tblLook w:val="04A0"/>
      </w:tblPr>
      <w:tblGrid>
        <w:gridCol w:w="4344"/>
        <w:gridCol w:w="1076"/>
        <w:gridCol w:w="1075"/>
        <w:gridCol w:w="1075"/>
        <w:gridCol w:w="1075"/>
      </w:tblGrid>
      <w:tr w:rsidR="004B7ABD" w:rsidRPr="004B7ABD" w:rsidTr="00B73209">
        <w:trPr>
          <w:trHeight w:val="26"/>
        </w:trPr>
        <w:tc>
          <w:tcPr>
            <w:tcW w:w="2512" w:type="pct"/>
            <w:tcBorders>
              <w:top w:val="nil"/>
              <w:left w:val="nil"/>
              <w:right w:val="nil"/>
            </w:tcBorders>
            <w:shd w:val="clear" w:color="000000" w:fill="D9D9D9"/>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 </w:t>
            </w:r>
          </w:p>
        </w:tc>
        <w:tc>
          <w:tcPr>
            <w:tcW w:w="1243" w:type="pct"/>
            <w:gridSpan w:val="2"/>
            <w:tcBorders>
              <w:top w:val="nil"/>
              <w:left w:val="nil"/>
              <w:right w:val="nil"/>
            </w:tcBorders>
            <w:shd w:val="clear" w:color="000000" w:fill="D9D9D9"/>
            <w:noWrap/>
            <w:vAlign w:val="center"/>
            <w:hideMark/>
          </w:tcPr>
          <w:p w:rsidR="00417A4A" w:rsidRPr="004B7ABD" w:rsidRDefault="00417A4A" w:rsidP="004B7ABD">
            <w:pPr>
              <w:spacing w:after="0" w:line="240" w:lineRule="auto"/>
              <w:jc w:val="center"/>
              <w:rPr>
                <w:rFonts w:ascii="Arial" w:hAnsi="Arial" w:cs="Arial"/>
                <w:b/>
                <w:bCs/>
                <w:color w:val="000000"/>
                <w:sz w:val="18"/>
                <w:szCs w:val="18"/>
              </w:rPr>
            </w:pPr>
            <w:r w:rsidRPr="004B7ABD">
              <w:rPr>
                <w:rFonts w:ascii="Arial" w:hAnsi="Arial" w:cs="Arial"/>
                <w:b/>
                <w:bCs/>
                <w:color w:val="000000"/>
                <w:sz w:val="18"/>
                <w:szCs w:val="18"/>
              </w:rPr>
              <w:t>31/12/2020</w:t>
            </w:r>
          </w:p>
        </w:tc>
        <w:tc>
          <w:tcPr>
            <w:tcW w:w="1244" w:type="pct"/>
            <w:gridSpan w:val="2"/>
            <w:tcBorders>
              <w:top w:val="nil"/>
              <w:left w:val="nil"/>
              <w:right w:val="nil"/>
            </w:tcBorders>
            <w:shd w:val="clear" w:color="000000" w:fill="D9D9D9"/>
            <w:noWrap/>
            <w:vAlign w:val="center"/>
            <w:hideMark/>
          </w:tcPr>
          <w:p w:rsidR="00417A4A" w:rsidRPr="004B7ABD" w:rsidRDefault="00417A4A" w:rsidP="004B7ABD">
            <w:pPr>
              <w:spacing w:after="0" w:line="240" w:lineRule="auto"/>
              <w:jc w:val="center"/>
              <w:rPr>
                <w:rFonts w:ascii="Arial" w:hAnsi="Arial" w:cs="Arial"/>
                <w:b/>
                <w:bCs/>
                <w:color w:val="000000"/>
                <w:sz w:val="18"/>
                <w:szCs w:val="18"/>
              </w:rPr>
            </w:pPr>
            <w:r w:rsidRPr="004B7ABD">
              <w:rPr>
                <w:rFonts w:ascii="Arial" w:hAnsi="Arial" w:cs="Arial"/>
                <w:b/>
                <w:bCs/>
                <w:color w:val="000000"/>
                <w:sz w:val="18"/>
                <w:szCs w:val="18"/>
              </w:rPr>
              <w:t>31/12/2019</w:t>
            </w:r>
          </w:p>
        </w:tc>
      </w:tr>
      <w:tr w:rsidR="004B7ABD" w:rsidRPr="004B7ABD" w:rsidTr="00B73209">
        <w:trPr>
          <w:trHeight w:val="110"/>
        </w:trPr>
        <w:tc>
          <w:tcPr>
            <w:tcW w:w="2512" w:type="pct"/>
            <w:tcBorders>
              <w:top w:val="nil"/>
              <w:left w:val="nil"/>
              <w:bottom w:val="single" w:sz="4" w:space="0" w:color="auto"/>
              <w:right w:val="nil"/>
            </w:tcBorders>
            <w:shd w:val="clear" w:color="000000" w:fill="D9D9D9"/>
            <w:noWrap/>
            <w:vAlign w:val="center"/>
            <w:hideMark/>
          </w:tcPr>
          <w:p w:rsidR="00417A4A" w:rsidRPr="004B7ABD" w:rsidRDefault="00417A4A" w:rsidP="004B7ABD">
            <w:pPr>
              <w:spacing w:after="0" w:line="240" w:lineRule="auto"/>
              <w:rPr>
                <w:rFonts w:ascii="Arial" w:hAnsi="Arial" w:cs="Arial"/>
                <w:color w:val="000000"/>
                <w:sz w:val="18"/>
                <w:szCs w:val="18"/>
              </w:rPr>
            </w:pPr>
            <w:r w:rsidRPr="004B7ABD">
              <w:rPr>
                <w:rFonts w:ascii="Arial" w:hAnsi="Arial" w:cs="Arial"/>
                <w:color w:val="000000"/>
                <w:sz w:val="18"/>
                <w:szCs w:val="18"/>
              </w:rPr>
              <w:t> </w:t>
            </w:r>
          </w:p>
        </w:tc>
        <w:tc>
          <w:tcPr>
            <w:tcW w:w="622" w:type="pct"/>
            <w:tcBorders>
              <w:top w:val="nil"/>
              <w:left w:val="nil"/>
              <w:bottom w:val="single" w:sz="4" w:space="0" w:color="auto"/>
              <w:right w:val="nil"/>
            </w:tcBorders>
            <w:shd w:val="clear" w:color="000000" w:fill="D9D9D9"/>
            <w:noWrap/>
            <w:vAlign w:val="center"/>
            <w:hideMark/>
          </w:tcPr>
          <w:p w:rsidR="00417A4A" w:rsidRPr="004B7ABD" w:rsidRDefault="00417A4A" w:rsidP="004B7ABD">
            <w:pPr>
              <w:spacing w:after="0" w:line="240" w:lineRule="auto"/>
              <w:jc w:val="center"/>
              <w:rPr>
                <w:rFonts w:ascii="Arial" w:hAnsi="Arial" w:cs="Arial"/>
                <w:b/>
                <w:bCs/>
                <w:color w:val="000000"/>
                <w:sz w:val="18"/>
                <w:szCs w:val="18"/>
              </w:rPr>
            </w:pPr>
            <w:r w:rsidRPr="004B7ABD">
              <w:rPr>
                <w:rFonts w:ascii="Arial" w:hAnsi="Arial" w:cs="Arial"/>
                <w:b/>
                <w:bCs/>
                <w:color w:val="000000"/>
                <w:sz w:val="18"/>
                <w:szCs w:val="18"/>
              </w:rPr>
              <w:t>A Cobrar</w:t>
            </w:r>
          </w:p>
        </w:tc>
        <w:tc>
          <w:tcPr>
            <w:tcW w:w="622" w:type="pct"/>
            <w:tcBorders>
              <w:top w:val="nil"/>
              <w:left w:val="nil"/>
              <w:bottom w:val="single" w:sz="4" w:space="0" w:color="auto"/>
              <w:right w:val="nil"/>
            </w:tcBorders>
            <w:shd w:val="clear" w:color="000000" w:fill="D9D9D9"/>
            <w:noWrap/>
            <w:vAlign w:val="center"/>
            <w:hideMark/>
          </w:tcPr>
          <w:p w:rsidR="00417A4A" w:rsidRPr="004B7ABD" w:rsidRDefault="00417A4A" w:rsidP="004B7ABD">
            <w:pPr>
              <w:spacing w:after="0" w:line="240" w:lineRule="auto"/>
              <w:jc w:val="center"/>
              <w:rPr>
                <w:rFonts w:ascii="Arial" w:hAnsi="Arial" w:cs="Arial"/>
                <w:b/>
                <w:bCs/>
                <w:color w:val="000000"/>
                <w:sz w:val="18"/>
                <w:szCs w:val="18"/>
              </w:rPr>
            </w:pPr>
            <w:r w:rsidRPr="004B7ABD">
              <w:rPr>
                <w:rFonts w:ascii="Arial" w:hAnsi="Arial" w:cs="Arial"/>
                <w:b/>
                <w:bCs/>
                <w:color w:val="000000"/>
                <w:sz w:val="18"/>
                <w:szCs w:val="18"/>
              </w:rPr>
              <w:t>A Pagar</w:t>
            </w:r>
          </w:p>
        </w:tc>
        <w:tc>
          <w:tcPr>
            <w:tcW w:w="622" w:type="pct"/>
            <w:tcBorders>
              <w:top w:val="nil"/>
              <w:left w:val="nil"/>
              <w:bottom w:val="single" w:sz="4" w:space="0" w:color="auto"/>
              <w:right w:val="nil"/>
            </w:tcBorders>
            <w:shd w:val="clear" w:color="000000" w:fill="D9D9D9"/>
            <w:noWrap/>
            <w:vAlign w:val="center"/>
            <w:hideMark/>
          </w:tcPr>
          <w:p w:rsidR="00417A4A" w:rsidRPr="004B7ABD" w:rsidRDefault="00417A4A" w:rsidP="004B7ABD">
            <w:pPr>
              <w:spacing w:after="0" w:line="240" w:lineRule="auto"/>
              <w:jc w:val="center"/>
              <w:rPr>
                <w:rFonts w:ascii="Arial" w:hAnsi="Arial" w:cs="Arial"/>
                <w:b/>
                <w:bCs/>
                <w:color w:val="000000"/>
                <w:sz w:val="18"/>
                <w:szCs w:val="18"/>
              </w:rPr>
            </w:pPr>
            <w:r w:rsidRPr="004B7ABD">
              <w:rPr>
                <w:rFonts w:ascii="Arial" w:hAnsi="Arial" w:cs="Arial"/>
                <w:b/>
                <w:bCs/>
                <w:color w:val="000000"/>
                <w:sz w:val="18"/>
                <w:szCs w:val="18"/>
              </w:rPr>
              <w:t>A Cobrar</w:t>
            </w:r>
          </w:p>
        </w:tc>
        <w:tc>
          <w:tcPr>
            <w:tcW w:w="622" w:type="pct"/>
            <w:tcBorders>
              <w:top w:val="nil"/>
              <w:left w:val="nil"/>
              <w:bottom w:val="single" w:sz="4" w:space="0" w:color="auto"/>
              <w:right w:val="nil"/>
            </w:tcBorders>
            <w:shd w:val="clear" w:color="000000" w:fill="D9D9D9"/>
            <w:noWrap/>
            <w:vAlign w:val="center"/>
            <w:hideMark/>
          </w:tcPr>
          <w:p w:rsidR="00417A4A" w:rsidRPr="004B7ABD" w:rsidRDefault="00417A4A" w:rsidP="004B7ABD">
            <w:pPr>
              <w:spacing w:after="0" w:line="240" w:lineRule="auto"/>
              <w:jc w:val="center"/>
              <w:rPr>
                <w:rFonts w:ascii="Arial" w:hAnsi="Arial" w:cs="Arial"/>
                <w:b/>
                <w:bCs/>
                <w:color w:val="000000"/>
                <w:sz w:val="18"/>
                <w:szCs w:val="18"/>
              </w:rPr>
            </w:pPr>
            <w:r w:rsidRPr="004B7ABD">
              <w:rPr>
                <w:rFonts w:ascii="Arial" w:hAnsi="Arial" w:cs="Arial"/>
                <w:b/>
                <w:bCs/>
                <w:color w:val="000000"/>
                <w:sz w:val="18"/>
                <w:szCs w:val="18"/>
              </w:rPr>
              <w:t>A Pagar</w:t>
            </w:r>
          </w:p>
        </w:tc>
      </w:tr>
      <w:tr w:rsidR="004B7ABD" w:rsidRPr="004B7ABD" w:rsidTr="00B73209">
        <w:trPr>
          <w:trHeight w:val="255"/>
        </w:trPr>
        <w:tc>
          <w:tcPr>
            <w:tcW w:w="2512" w:type="pct"/>
            <w:tcBorders>
              <w:top w:val="single" w:sz="4" w:space="0" w:color="auto"/>
              <w:left w:val="nil"/>
              <w:bottom w:val="nil"/>
              <w:right w:val="nil"/>
            </w:tcBorders>
            <w:shd w:val="clear" w:color="auto" w:fill="F2F2F2" w:themeFill="background1" w:themeFillShade="F2"/>
            <w:noWrap/>
            <w:vAlign w:val="center"/>
            <w:hideMark/>
          </w:tcPr>
          <w:p w:rsidR="00417A4A" w:rsidRPr="004B7ABD" w:rsidRDefault="00417A4A" w:rsidP="004B7ABD">
            <w:pPr>
              <w:spacing w:after="0" w:line="240" w:lineRule="auto"/>
              <w:rPr>
                <w:rFonts w:ascii="Arial" w:hAnsi="Arial" w:cs="Arial"/>
                <w:b/>
                <w:bCs/>
                <w:color w:val="000000"/>
                <w:sz w:val="18"/>
                <w:szCs w:val="18"/>
              </w:rPr>
            </w:pPr>
            <w:r w:rsidRPr="004B7ABD">
              <w:rPr>
                <w:rFonts w:ascii="Arial" w:hAnsi="Arial" w:cs="Arial"/>
                <w:b/>
                <w:bCs/>
                <w:color w:val="000000"/>
                <w:sz w:val="18"/>
                <w:szCs w:val="18"/>
              </w:rPr>
              <w:t>No corriente</w:t>
            </w:r>
            <w:r w:rsidR="00444504">
              <w:rPr>
                <w:rFonts w:ascii="Arial" w:hAnsi="Arial" w:cs="Arial"/>
                <w:b/>
                <w:bCs/>
                <w:color w:val="000000"/>
                <w:sz w:val="18"/>
                <w:szCs w:val="18"/>
              </w:rPr>
              <w:t>:</w:t>
            </w:r>
          </w:p>
        </w:tc>
        <w:tc>
          <w:tcPr>
            <w:tcW w:w="622" w:type="pct"/>
            <w:tcBorders>
              <w:top w:val="single" w:sz="4" w:space="0" w:color="auto"/>
              <w:left w:val="nil"/>
              <w:bottom w:val="nil"/>
              <w:right w:val="nil"/>
            </w:tcBorders>
            <w:shd w:val="clear" w:color="auto" w:fill="F2F2F2" w:themeFill="background1" w:themeFillShade="F2"/>
            <w:noWrap/>
            <w:vAlign w:val="center"/>
            <w:hideMark/>
          </w:tcPr>
          <w:p w:rsidR="00417A4A" w:rsidRPr="004B7ABD" w:rsidRDefault="00417A4A" w:rsidP="004B7ABD">
            <w:pPr>
              <w:spacing w:after="0" w:line="240" w:lineRule="auto"/>
              <w:jc w:val="right"/>
              <w:rPr>
                <w:rFonts w:ascii="Arial" w:hAnsi="Arial" w:cs="Arial"/>
                <w:b/>
                <w:bCs/>
                <w:color w:val="000000"/>
                <w:sz w:val="18"/>
                <w:szCs w:val="18"/>
              </w:rPr>
            </w:pPr>
          </w:p>
        </w:tc>
        <w:tc>
          <w:tcPr>
            <w:tcW w:w="622" w:type="pct"/>
            <w:tcBorders>
              <w:top w:val="single" w:sz="4" w:space="0" w:color="auto"/>
              <w:left w:val="nil"/>
              <w:bottom w:val="nil"/>
              <w:right w:val="nil"/>
            </w:tcBorders>
            <w:shd w:val="clear" w:color="auto" w:fill="F2F2F2" w:themeFill="background1" w:themeFillShade="F2"/>
            <w:noWrap/>
            <w:vAlign w:val="center"/>
            <w:hideMark/>
          </w:tcPr>
          <w:p w:rsidR="00417A4A" w:rsidRPr="004B7ABD" w:rsidRDefault="00417A4A" w:rsidP="004B7ABD">
            <w:pPr>
              <w:spacing w:after="0" w:line="240" w:lineRule="auto"/>
              <w:jc w:val="right"/>
              <w:rPr>
                <w:rFonts w:ascii="Arial" w:hAnsi="Arial" w:cs="Arial"/>
                <w:sz w:val="18"/>
                <w:szCs w:val="18"/>
              </w:rPr>
            </w:pPr>
          </w:p>
        </w:tc>
        <w:tc>
          <w:tcPr>
            <w:tcW w:w="622" w:type="pct"/>
            <w:tcBorders>
              <w:top w:val="single" w:sz="4" w:space="0" w:color="auto"/>
              <w:left w:val="nil"/>
              <w:bottom w:val="nil"/>
              <w:right w:val="nil"/>
            </w:tcBorders>
            <w:shd w:val="clear" w:color="auto" w:fill="F2F2F2" w:themeFill="background1" w:themeFillShade="F2"/>
            <w:noWrap/>
            <w:vAlign w:val="center"/>
            <w:hideMark/>
          </w:tcPr>
          <w:p w:rsidR="00417A4A" w:rsidRPr="004B7ABD" w:rsidRDefault="00417A4A" w:rsidP="004B7ABD">
            <w:pPr>
              <w:spacing w:after="0" w:line="240" w:lineRule="auto"/>
              <w:jc w:val="right"/>
              <w:rPr>
                <w:rFonts w:ascii="Arial" w:hAnsi="Arial" w:cs="Arial"/>
                <w:sz w:val="18"/>
                <w:szCs w:val="18"/>
              </w:rPr>
            </w:pPr>
          </w:p>
        </w:tc>
        <w:tc>
          <w:tcPr>
            <w:tcW w:w="622" w:type="pct"/>
            <w:tcBorders>
              <w:top w:val="single" w:sz="4" w:space="0" w:color="auto"/>
              <w:left w:val="nil"/>
              <w:bottom w:val="nil"/>
              <w:right w:val="nil"/>
            </w:tcBorders>
            <w:shd w:val="clear" w:color="auto" w:fill="F2F2F2" w:themeFill="background1" w:themeFillShade="F2"/>
            <w:noWrap/>
            <w:vAlign w:val="center"/>
            <w:hideMark/>
          </w:tcPr>
          <w:p w:rsidR="00417A4A" w:rsidRPr="004B7ABD" w:rsidRDefault="00417A4A" w:rsidP="004B7ABD">
            <w:pPr>
              <w:spacing w:after="0" w:line="240" w:lineRule="auto"/>
              <w:jc w:val="right"/>
              <w:rPr>
                <w:rFonts w:ascii="Arial" w:hAnsi="Arial" w:cs="Arial"/>
                <w:sz w:val="18"/>
                <w:szCs w:val="18"/>
              </w:rPr>
            </w:pPr>
          </w:p>
        </w:tc>
      </w:tr>
      <w:tr w:rsidR="004B7ABD" w:rsidRPr="004B7ABD" w:rsidTr="00B73209">
        <w:trPr>
          <w:trHeight w:val="255"/>
        </w:trPr>
        <w:tc>
          <w:tcPr>
            <w:tcW w:w="2512" w:type="pct"/>
            <w:tcBorders>
              <w:top w:val="nil"/>
              <w:left w:val="nil"/>
              <w:bottom w:val="single" w:sz="4" w:space="0" w:color="auto"/>
              <w:right w:val="nil"/>
            </w:tcBorders>
            <w:noWrap/>
            <w:vAlign w:val="center"/>
            <w:hideMark/>
          </w:tcPr>
          <w:p w:rsidR="00417A4A" w:rsidRPr="004B7ABD" w:rsidRDefault="00417A4A" w:rsidP="004B7ABD">
            <w:pPr>
              <w:spacing w:after="0" w:line="240" w:lineRule="auto"/>
              <w:rPr>
                <w:rFonts w:ascii="Arial" w:hAnsi="Arial" w:cs="Arial"/>
                <w:color w:val="000000"/>
                <w:sz w:val="18"/>
                <w:szCs w:val="18"/>
              </w:rPr>
            </w:pPr>
            <w:r w:rsidRPr="004B7ABD">
              <w:rPr>
                <w:rFonts w:ascii="Arial" w:hAnsi="Arial" w:cs="Arial"/>
                <w:color w:val="000000"/>
                <w:sz w:val="18"/>
                <w:szCs w:val="18"/>
              </w:rPr>
              <w:t>Impuesto diferido</w:t>
            </w:r>
          </w:p>
        </w:tc>
        <w:tc>
          <w:tcPr>
            <w:tcW w:w="622" w:type="pct"/>
            <w:tcBorders>
              <w:top w:val="nil"/>
              <w:left w:val="nil"/>
              <w:bottom w:val="single" w:sz="4" w:space="0" w:color="auto"/>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9.153,21</w:t>
            </w:r>
          </w:p>
        </w:tc>
        <w:tc>
          <w:tcPr>
            <w:tcW w:w="622" w:type="pct"/>
            <w:tcBorders>
              <w:top w:val="nil"/>
              <w:left w:val="nil"/>
              <w:bottom w:val="single" w:sz="4" w:space="0" w:color="auto"/>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w:t>
            </w:r>
          </w:p>
        </w:tc>
        <w:tc>
          <w:tcPr>
            <w:tcW w:w="622" w:type="pct"/>
            <w:tcBorders>
              <w:top w:val="nil"/>
              <w:left w:val="nil"/>
              <w:bottom w:val="single" w:sz="4" w:space="0" w:color="auto"/>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9.153,21</w:t>
            </w:r>
          </w:p>
        </w:tc>
        <w:tc>
          <w:tcPr>
            <w:tcW w:w="622" w:type="pct"/>
            <w:tcBorders>
              <w:top w:val="nil"/>
              <w:left w:val="nil"/>
              <w:bottom w:val="single" w:sz="4" w:space="0" w:color="auto"/>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w:t>
            </w:r>
          </w:p>
        </w:tc>
      </w:tr>
      <w:tr w:rsidR="00444504" w:rsidRPr="004B7ABD" w:rsidTr="00B73209">
        <w:trPr>
          <w:trHeight w:val="255"/>
        </w:trPr>
        <w:tc>
          <w:tcPr>
            <w:tcW w:w="2512" w:type="pct"/>
            <w:tcBorders>
              <w:top w:val="single" w:sz="4" w:space="0" w:color="auto"/>
              <w:left w:val="nil"/>
              <w:bottom w:val="single" w:sz="4" w:space="0" w:color="auto"/>
              <w:right w:val="nil"/>
            </w:tcBorders>
            <w:noWrap/>
            <w:vAlign w:val="center"/>
          </w:tcPr>
          <w:p w:rsidR="00444504" w:rsidRPr="00444504" w:rsidRDefault="00444504" w:rsidP="00444504">
            <w:pPr>
              <w:spacing w:after="0" w:line="240" w:lineRule="auto"/>
              <w:rPr>
                <w:rFonts w:ascii="Arial" w:hAnsi="Arial" w:cs="Arial"/>
                <w:b/>
                <w:color w:val="000000"/>
                <w:sz w:val="18"/>
                <w:szCs w:val="18"/>
              </w:rPr>
            </w:pPr>
            <w:r w:rsidRPr="00444504">
              <w:rPr>
                <w:rFonts w:ascii="Arial" w:hAnsi="Arial" w:cs="Arial"/>
                <w:b/>
                <w:color w:val="000000"/>
                <w:sz w:val="18"/>
                <w:szCs w:val="18"/>
              </w:rPr>
              <w:t>Total no corriente</w:t>
            </w:r>
          </w:p>
        </w:tc>
        <w:tc>
          <w:tcPr>
            <w:tcW w:w="622" w:type="pct"/>
            <w:tcBorders>
              <w:top w:val="single" w:sz="4" w:space="0" w:color="auto"/>
              <w:left w:val="nil"/>
              <w:bottom w:val="single" w:sz="4" w:space="0" w:color="auto"/>
              <w:right w:val="nil"/>
            </w:tcBorders>
            <w:noWrap/>
            <w:vAlign w:val="center"/>
          </w:tcPr>
          <w:p w:rsidR="00444504" w:rsidRPr="00444504" w:rsidRDefault="00444504" w:rsidP="00444504">
            <w:pPr>
              <w:spacing w:after="0" w:line="240" w:lineRule="auto"/>
              <w:jc w:val="right"/>
              <w:rPr>
                <w:rFonts w:ascii="Arial" w:hAnsi="Arial" w:cs="Arial"/>
                <w:b/>
                <w:color w:val="000000"/>
                <w:sz w:val="18"/>
                <w:szCs w:val="18"/>
              </w:rPr>
            </w:pPr>
            <w:r w:rsidRPr="00444504">
              <w:rPr>
                <w:rFonts w:ascii="Arial" w:hAnsi="Arial" w:cs="Arial"/>
                <w:b/>
                <w:color w:val="000000"/>
                <w:sz w:val="18"/>
                <w:szCs w:val="18"/>
              </w:rPr>
              <w:t>9.153,21</w:t>
            </w:r>
          </w:p>
        </w:tc>
        <w:tc>
          <w:tcPr>
            <w:tcW w:w="622" w:type="pct"/>
            <w:tcBorders>
              <w:top w:val="single" w:sz="4" w:space="0" w:color="auto"/>
              <w:left w:val="nil"/>
              <w:bottom w:val="single" w:sz="4" w:space="0" w:color="auto"/>
              <w:right w:val="nil"/>
            </w:tcBorders>
            <w:noWrap/>
            <w:vAlign w:val="center"/>
          </w:tcPr>
          <w:p w:rsidR="00444504" w:rsidRPr="00444504" w:rsidRDefault="00444504" w:rsidP="00444504">
            <w:pPr>
              <w:spacing w:after="0" w:line="240" w:lineRule="auto"/>
              <w:jc w:val="right"/>
              <w:rPr>
                <w:rFonts w:ascii="Arial" w:hAnsi="Arial" w:cs="Arial"/>
                <w:b/>
                <w:color w:val="000000"/>
                <w:sz w:val="18"/>
                <w:szCs w:val="18"/>
              </w:rPr>
            </w:pPr>
            <w:r w:rsidRPr="00444504">
              <w:rPr>
                <w:rFonts w:ascii="Arial" w:hAnsi="Arial" w:cs="Arial"/>
                <w:b/>
                <w:color w:val="000000"/>
                <w:sz w:val="18"/>
                <w:szCs w:val="18"/>
              </w:rPr>
              <w:t>-</w:t>
            </w:r>
          </w:p>
        </w:tc>
        <w:tc>
          <w:tcPr>
            <w:tcW w:w="622" w:type="pct"/>
            <w:tcBorders>
              <w:top w:val="single" w:sz="4" w:space="0" w:color="auto"/>
              <w:left w:val="nil"/>
              <w:bottom w:val="single" w:sz="4" w:space="0" w:color="auto"/>
              <w:right w:val="nil"/>
            </w:tcBorders>
            <w:noWrap/>
            <w:vAlign w:val="center"/>
          </w:tcPr>
          <w:p w:rsidR="00444504" w:rsidRPr="00444504" w:rsidRDefault="00444504" w:rsidP="00444504">
            <w:pPr>
              <w:spacing w:after="0" w:line="240" w:lineRule="auto"/>
              <w:jc w:val="right"/>
              <w:rPr>
                <w:rFonts w:ascii="Arial" w:hAnsi="Arial" w:cs="Arial"/>
                <w:b/>
                <w:color w:val="000000"/>
                <w:sz w:val="18"/>
                <w:szCs w:val="18"/>
              </w:rPr>
            </w:pPr>
            <w:r w:rsidRPr="00444504">
              <w:rPr>
                <w:rFonts w:ascii="Arial" w:hAnsi="Arial" w:cs="Arial"/>
                <w:b/>
                <w:color w:val="000000"/>
                <w:sz w:val="18"/>
                <w:szCs w:val="18"/>
              </w:rPr>
              <w:t>9.153,21</w:t>
            </w:r>
          </w:p>
        </w:tc>
        <w:tc>
          <w:tcPr>
            <w:tcW w:w="622" w:type="pct"/>
            <w:tcBorders>
              <w:top w:val="single" w:sz="4" w:space="0" w:color="auto"/>
              <w:left w:val="nil"/>
              <w:bottom w:val="single" w:sz="4" w:space="0" w:color="auto"/>
              <w:right w:val="nil"/>
            </w:tcBorders>
            <w:noWrap/>
            <w:vAlign w:val="center"/>
          </w:tcPr>
          <w:p w:rsidR="00444504" w:rsidRPr="00444504" w:rsidRDefault="00444504" w:rsidP="00444504">
            <w:pPr>
              <w:spacing w:after="0" w:line="240" w:lineRule="auto"/>
              <w:jc w:val="right"/>
              <w:rPr>
                <w:rFonts w:ascii="Arial" w:hAnsi="Arial" w:cs="Arial"/>
                <w:b/>
                <w:color w:val="000000"/>
                <w:sz w:val="18"/>
                <w:szCs w:val="18"/>
              </w:rPr>
            </w:pPr>
            <w:r w:rsidRPr="00444504">
              <w:rPr>
                <w:rFonts w:ascii="Arial" w:hAnsi="Arial" w:cs="Arial"/>
                <w:b/>
                <w:color w:val="000000"/>
                <w:sz w:val="18"/>
                <w:szCs w:val="18"/>
              </w:rPr>
              <w:t>-</w:t>
            </w:r>
          </w:p>
        </w:tc>
      </w:tr>
      <w:tr w:rsidR="004B7ABD" w:rsidRPr="004B7ABD" w:rsidTr="00B73209">
        <w:trPr>
          <w:trHeight w:val="255"/>
        </w:trPr>
        <w:tc>
          <w:tcPr>
            <w:tcW w:w="2512" w:type="pct"/>
            <w:tcBorders>
              <w:top w:val="single" w:sz="4" w:space="0" w:color="auto"/>
              <w:left w:val="nil"/>
              <w:bottom w:val="nil"/>
              <w:right w:val="nil"/>
            </w:tcBorders>
            <w:shd w:val="clear" w:color="auto" w:fill="F2F2F2" w:themeFill="background1" w:themeFillShade="F2"/>
            <w:noWrap/>
            <w:vAlign w:val="center"/>
            <w:hideMark/>
          </w:tcPr>
          <w:p w:rsidR="00417A4A" w:rsidRPr="004B7ABD" w:rsidRDefault="00417A4A" w:rsidP="004B7ABD">
            <w:pPr>
              <w:spacing w:after="0" w:line="240" w:lineRule="auto"/>
              <w:rPr>
                <w:rFonts w:ascii="Arial" w:hAnsi="Arial" w:cs="Arial"/>
                <w:b/>
                <w:bCs/>
                <w:color w:val="000000"/>
                <w:sz w:val="18"/>
                <w:szCs w:val="18"/>
              </w:rPr>
            </w:pPr>
            <w:r w:rsidRPr="004B7ABD">
              <w:rPr>
                <w:rFonts w:ascii="Arial" w:hAnsi="Arial" w:cs="Arial"/>
                <w:b/>
                <w:bCs/>
                <w:color w:val="000000"/>
                <w:sz w:val="18"/>
                <w:szCs w:val="18"/>
              </w:rPr>
              <w:t>Corriente:</w:t>
            </w:r>
          </w:p>
        </w:tc>
        <w:tc>
          <w:tcPr>
            <w:tcW w:w="622" w:type="pct"/>
            <w:tcBorders>
              <w:top w:val="single" w:sz="4" w:space="0" w:color="auto"/>
              <w:left w:val="nil"/>
              <w:bottom w:val="nil"/>
              <w:right w:val="nil"/>
            </w:tcBorders>
            <w:shd w:val="clear" w:color="auto" w:fill="F2F2F2" w:themeFill="background1" w:themeFillShade="F2"/>
            <w:noWrap/>
            <w:vAlign w:val="center"/>
            <w:hideMark/>
          </w:tcPr>
          <w:p w:rsidR="00417A4A" w:rsidRPr="004B7ABD" w:rsidRDefault="00417A4A" w:rsidP="004B7ABD">
            <w:pPr>
              <w:spacing w:after="0" w:line="240" w:lineRule="auto"/>
              <w:jc w:val="right"/>
              <w:rPr>
                <w:rFonts w:ascii="Arial" w:hAnsi="Arial" w:cs="Arial"/>
                <w:b/>
                <w:bCs/>
                <w:color w:val="000000"/>
                <w:sz w:val="18"/>
                <w:szCs w:val="18"/>
              </w:rPr>
            </w:pPr>
          </w:p>
        </w:tc>
        <w:tc>
          <w:tcPr>
            <w:tcW w:w="622" w:type="pct"/>
            <w:tcBorders>
              <w:top w:val="single" w:sz="4" w:space="0" w:color="auto"/>
              <w:left w:val="nil"/>
              <w:bottom w:val="nil"/>
              <w:right w:val="nil"/>
            </w:tcBorders>
            <w:shd w:val="clear" w:color="auto" w:fill="F2F2F2" w:themeFill="background1" w:themeFillShade="F2"/>
            <w:noWrap/>
            <w:vAlign w:val="center"/>
            <w:hideMark/>
          </w:tcPr>
          <w:p w:rsidR="00417A4A" w:rsidRPr="004B7ABD" w:rsidRDefault="00417A4A" w:rsidP="004B7ABD">
            <w:pPr>
              <w:spacing w:after="0" w:line="240" w:lineRule="auto"/>
              <w:jc w:val="right"/>
              <w:rPr>
                <w:rFonts w:ascii="Arial" w:hAnsi="Arial" w:cs="Arial"/>
                <w:sz w:val="18"/>
                <w:szCs w:val="18"/>
              </w:rPr>
            </w:pPr>
          </w:p>
        </w:tc>
        <w:tc>
          <w:tcPr>
            <w:tcW w:w="622" w:type="pct"/>
            <w:tcBorders>
              <w:top w:val="single" w:sz="4" w:space="0" w:color="auto"/>
              <w:left w:val="nil"/>
              <w:bottom w:val="nil"/>
              <w:right w:val="nil"/>
            </w:tcBorders>
            <w:shd w:val="clear" w:color="auto" w:fill="F2F2F2" w:themeFill="background1" w:themeFillShade="F2"/>
            <w:noWrap/>
            <w:vAlign w:val="center"/>
            <w:hideMark/>
          </w:tcPr>
          <w:p w:rsidR="00417A4A" w:rsidRPr="004B7ABD" w:rsidRDefault="00417A4A" w:rsidP="004B7ABD">
            <w:pPr>
              <w:spacing w:after="0" w:line="240" w:lineRule="auto"/>
              <w:jc w:val="right"/>
              <w:rPr>
                <w:rFonts w:ascii="Arial" w:hAnsi="Arial" w:cs="Arial"/>
                <w:sz w:val="18"/>
                <w:szCs w:val="18"/>
              </w:rPr>
            </w:pPr>
          </w:p>
        </w:tc>
        <w:tc>
          <w:tcPr>
            <w:tcW w:w="622" w:type="pct"/>
            <w:tcBorders>
              <w:top w:val="single" w:sz="4" w:space="0" w:color="auto"/>
              <w:left w:val="nil"/>
              <w:bottom w:val="nil"/>
              <w:right w:val="nil"/>
            </w:tcBorders>
            <w:shd w:val="clear" w:color="auto" w:fill="F2F2F2" w:themeFill="background1" w:themeFillShade="F2"/>
            <w:noWrap/>
            <w:vAlign w:val="center"/>
            <w:hideMark/>
          </w:tcPr>
          <w:p w:rsidR="00417A4A" w:rsidRPr="004B7ABD" w:rsidRDefault="00417A4A" w:rsidP="004B7ABD">
            <w:pPr>
              <w:spacing w:after="0" w:line="240" w:lineRule="auto"/>
              <w:jc w:val="right"/>
              <w:rPr>
                <w:rFonts w:ascii="Arial" w:hAnsi="Arial" w:cs="Arial"/>
                <w:sz w:val="18"/>
                <w:szCs w:val="18"/>
              </w:rPr>
            </w:pPr>
          </w:p>
        </w:tc>
      </w:tr>
      <w:tr w:rsidR="004B7ABD" w:rsidRPr="004B7ABD" w:rsidTr="00B73209">
        <w:trPr>
          <w:trHeight w:val="255"/>
        </w:trPr>
        <w:tc>
          <w:tcPr>
            <w:tcW w:w="2512" w:type="pct"/>
            <w:tcBorders>
              <w:top w:val="nil"/>
              <w:left w:val="nil"/>
              <w:bottom w:val="nil"/>
              <w:right w:val="nil"/>
            </w:tcBorders>
            <w:noWrap/>
            <w:vAlign w:val="center"/>
            <w:hideMark/>
          </w:tcPr>
          <w:p w:rsidR="00417A4A" w:rsidRPr="004B7ABD" w:rsidRDefault="00417A4A" w:rsidP="004B7ABD">
            <w:pPr>
              <w:spacing w:after="0" w:line="240" w:lineRule="auto"/>
              <w:rPr>
                <w:rFonts w:ascii="Arial" w:hAnsi="Arial" w:cs="Arial"/>
                <w:color w:val="000000"/>
                <w:sz w:val="18"/>
                <w:szCs w:val="18"/>
              </w:rPr>
            </w:pPr>
            <w:r w:rsidRPr="004B7ABD">
              <w:rPr>
                <w:rFonts w:ascii="Arial" w:hAnsi="Arial" w:cs="Arial"/>
                <w:color w:val="000000"/>
                <w:sz w:val="18"/>
                <w:szCs w:val="18"/>
              </w:rPr>
              <w:t>Impuesto sobre la Renta de Personas Físicas</w:t>
            </w:r>
          </w:p>
        </w:tc>
        <w:tc>
          <w:tcPr>
            <w:tcW w:w="622" w:type="pct"/>
            <w:tcBorders>
              <w:top w:val="nil"/>
              <w:left w:val="nil"/>
              <w:bottom w:val="nil"/>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w:t>
            </w:r>
          </w:p>
        </w:tc>
        <w:tc>
          <w:tcPr>
            <w:tcW w:w="622" w:type="pct"/>
            <w:tcBorders>
              <w:top w:val="nil"/>
              <w:left w:val="nil"/>
              <w:bottom w:val="nil"/>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24,16</w:t>
            </w:r>
          </w:p>
        </w:tc>
        <w:tc>
          <w:tcPr>
            <w:tcW w:w="622" w:type="pct"/>
            <w:tcBorders>
              <w:top w:val="nil"/>
              <w:left w:val="nil"/>
              <w:bottom w:val="nil"/>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w:t>
            </w:r>
          </w:p>
        </w:tc>
        <w:tc>
          <w:tcPr>
            <w:tcW w:w="622" w:type="pct"/>
            <w:tcBorders>
              <w:top w:val="nil"/>
              <w:left w:val="nil"/>
              <w:bottom w:val="nil"/>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24,16</w:t>
            </w:r>
          </w:p>
        </w:tc>
      </w:tr>
      <w:tr w:rsidR="004B7ABD" w:rsidRPr="004B7ABD" w:rsidTr="00B73209">
        <w:trPr>
          <w:trHeight w:val="255"/>
        </w:trPr>
        <w:tc>
          <w:tcPr>
            <w:tcW w:w="2512" w:type="pct"/>
            <w:tcBorders>
              <w:top w:val="nil"/>
              <w:left w:val="nil"/>
              <w:bottom w:val="nil"/>
              <w:right w:val="nil"/>
            </w:tcBorders>
            <w:noWrap/>
            <w:vAlign w:val="center"/>
            <w:hideMark/>
          </w:tcPr>
          <w:p w:rsidR="00417A4A" w:rsidRPr="004B7ABD" w:rsidRDefault="00417A4A" w:rsidP="004B7ABD">
            <w:pPr>
              <w:spacing w:after="0" w:line="240" w:lineRule="auto"/>
              <w:rPr>
                <w:rFonts w:ascii="Arial" w:hAnsi="Arial" w:cs="Arial"/>
                <w:color w:val="000000"/>
                <w:sz w:val="18"/>
                <w:szCs w:val="18"/>
              </w:rPr>
            </w:pPr>
            <w:r w:rsidRPr="004B7ABD">
              <w:rPr>
                <w:rFonts w:ascii="Arial" w:hAnsi="Arial" w:cs="Arial"/>
                <w:color w:val="000000"/>
                <w:sz w:val="18"/>
                <w:szCs w:val="18"/>
              </w:rPr>
              <w:t>Impuesto General Indirecto Canario</w:t>
            </w:r>
          </w:p>
        </w:tc>
        <w:tc>
          <w:tcPr>
            <w:tcW w:w="622" w:type="pct"/>
            <w:tcBorders>
              <w:top w:val="nil"/>
              <w:left w:val="nil"/>
              <w:bottom w:val="nil"/>
              <w:right w:val="nil"/>
            </w:tcBorders>
            <w:noWrap/>
            <w:vAlign w:val="center"/>
            <w:hideMark/>
          </w:tcPr>
          <w:p w:rsidR="00417A4A" w:rsidRPr="004B7ABD" w:rsidRDefault="004B7ABD"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3,</w:t>
            </w:r>
            <w:r w:rsidR="00417A4A" w:rsidRPr="004B7ABD">
              <w:rPr>
                <w:rFonts w:ascii="Arial" w:hAnsi="Arial" w:cs="Arial"/>
                <w:color w:val="000000"/>
                <w:sz w:val="18"/>
                <w:szCs w:val="18"/>
              </w:rPr>
              <w:t>81</w:t>
            </w:r>
          </w:p>
        </w:tc>
        <w:tc>
          <w:tcPr>
            <w:tcW w:w="622" w:type="pct"/>
            <w:tcBorders>
              <w:top w:val="nil"/>
              <w:left w:val="nil"/>
              <w:bottom w:val="nil"/>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60.911,47</w:t>
            </w:r>
          </w:p>
        </w:tc>
        <w:tc>
          <w:tcPr>
            <w:tcW w:w="622" w:type="pct"/>
            <w:tcBorders>
              <w:top w:val="nil"/>
              <w:left w:val="nil"/>
              <w:bottom w:val="nil"/>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9.393,19</w:t>
            </w:r>
          </w:p>
        </w:tc>
        <w:tc>
          <w:tcPr>
            <w:tcW w:w="622" w:type="pct"/>
            <w:tcBorders>
              <w:top w:val="nil"/>
              <w:left w:val="nil"/>
              <w:bottom w:val="nil"/>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32.906,08</w:t>
            </w:r>
          </w:p>
        </w:tc>
      </w:tr>
      <w:tr w:rsidR="004B7ABD" w:rsidRPr="004B7ABD" w:rsidTr="00B73209">
        <w:trPr>
          <w:trHeight w:val="255"/>
        </w:trPr>
        <w:tc>
          <w:tcPr>
            <w:tcW w:w="2512" w:type="pct"/>
            <w:tcBorders>
              <w:top w:val="nil"/>
              <w:left w:val="nil"/>
              <w:bottom w:val="single" w:sz="4" w:space="0" w:color="auto"/>
              <w:right w:val="nil"/>
            </w:tcBorders>
            <w:noWrap/>
            <w:vAlign w:val="center"/>
            <w:hideMark/>
          </w:tcPr>
          <w:p w:rsidR="00417A4A" w:rsidRPr="004B7ABD" w:rsidRDefault="00417A4A" w:rsidP="004B7ABD">
            <w:pPr>
              <w:spacing w:after="0" w:line="240" w:lineRule="auto"/>
              <w:rPr>
                <w:rFonts w:ascii="Arial" w:hAnsi="Arial" w:cs="Arial"/>
                <w:color w:val="000000"/>
                <w:sz w:val="18"/>
                <w:szCs w:val="18"/>
              </w:rPr>
            </w:pPr>
            <w:r w:rsidRPr="004B7ABD">
              <w:rPr>
                <w:rFonts w:ascii="Arial" w:hAnsi="Arial" w:cs="Arial"/>
                <w:color w:val="000000"/>
                <w:sz w:val="18"/>
                <w:szCs w:val="18"/>
              </w:rPr>
              <w:t>Otros tributos</w:t>
            </w:r>
          </w:p>
        </w:tc>
        <w:tc>
          <w:tcPr>
            <w:tcW w:w="622" w:type="pct"/>
            <w:tcBorders>
              <w:top w:val="nil"/>
              <w:left w:val="nil"/>
              <w:bottom w:val="single" w:sz="4" w:space="0" w:color="auto"/>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w:t>
            </w:r>
          </w:p>
        </w:tc>
        <w:tc>
          <w:tcPr>
            <w:tcW w:w="622" w:type="pct"/>
            <w:tcBorders>
              <w:top w:val="nil"/>
              <w:left w:val="nil"/>
              <w:bottom w:val="single" w:sz="4" w:space="0" w:color="auto"/>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63.965,44</w:t>
            </w:r>
          </w:p>
        </w:tc>
        <w:tc>
          <w:tcPr>
            <w:tcW w:w="622" w:type="pct"/>
            <w:tcBorders>
              <w:top w:val="nil"/>
              <w:left w:val="nil"/>
              <w:bottom w:val="single" w:sz="4" w:space="0" w:color="auto"/>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w:t>
            </w:r>
          </w:p>
        </w:tc>
        <w:tc>
          <w:tcPr>
            <w:tcW w:w="622" w:type="pct"/>
            <w:tcBorders>
              <w:top w:val="nil"/>
              <w:left w:val="nil"/>
              <w:bottom w:val="single" w:sz="4" w:space="0" w:color="auto"/>
              <w:right w:val="nil"/>
            </w:tcBorders>
            <w:noWrap/>
            <w:vAlign w:val="center"/>
            <w:hideMark/>
          </w:tcPr>
          <w:p w:rsidR="00417A4A" w:rsidRPr="004B7ABD" w:rsidRDefault="00417A4A" w:rsidP="004B7ABD">
            <w:pPr>
              <w:spacing w:after="0" w:line="240" w:lineRule="auto"/>
              <w:jc w:val="right"/>
              <w:rPr>
                <w:rFonts w:ascii="Arial" w:hAnsi="Arial" w:cs="Arial"/>
                <w:color w:val="000000"/>
                <w:sz w:val="18"/>
                <w:szCs w:val="18"/>
              </w:rPr>
            </w:pPr>
            <w:r w:rsidRPr="004B7ABD">
              <w:rPr>
                <w:rFonts w:ascii="Arial" w:hAnsi="Arial" w:cs="Arial"/>
                <w:color w:val="000000"/>
                <w:sz w:val="18"/>
                <w:szCs w:val="18"/>
              </w:rPr>
              <w:t>-</w:t>
            </w:r>
          </w:p>
        </w:tc>
      </w:tr>
      <w:tr w:rsidR="004B7ABD" w:rsidRPr="004B7ABD" w:rsidTr="00B73209">
        <w:trPr>
          <w:trHeight w:val="255"/>
        </w:trPr>
        <w:tc>
          <w:tcPr>
            <w:tcW w:w="2512" w:type="pct"/>
            <w:tcBorders>
              <w:top w:val="single" w:sz="4" w:space="0" w:color="auto"/>
              <w:left w:val="nil"/>
              <w:bottom w:val="single" w:sz="4" w:space="0" w:color="auto"/>
              <w:right w:val="nil"/>
            </w:tcBorders>
            <w:noWrap/>
            <w:vAlign w:val="center"/>
            <w:hideMark/>
          </w:tcPr>
          <w:p w:rsidR="004B7ABD" w:rsidRPr="004B7ABD" w:rsidRDefault="004B7ABD" w:rsidP="004B7ABD">
            <w:pPr>
              <w:spacing w:after="0" w:line="240" w:lineRule="auto"/>
              <w:rPr>
                <w:rFonts w:ascii="Arial" w:hAnsi="Arial" w:cs="Arial"/>
                <w:b/>
                <w:color w:val="000000"/>
                <w:sz w:val="18"/>
                <w:szCs w:val="18"/>
              </w:rPr>
            </w:pPr>
            <w:r w:rsidRPr="004B7ABD">
              <w:rPr>
                <w:rFonts w:ascii="Arial" w:hAnsi="Arial" w:cs="Arial"/>
                <w:b/>
                <w:color w:val="000000"/>
                <w:sz w:val="18"/>
                <w:szCs w:val="18"/>
              </w:rPr>
              <w:t> Total corriente</w:t>
            </w:r>
          </w:p>
        </w:tc>
        <w:tc>
          <w:tcPr>
            <w:tcW w:w="622" w:type="pct"/>
            <w:tcBorders>
              <w:top w:val="single" w:sz="4" w:space="0" w:color="auto"/>
              <w:left w:val="nil"/>
              <w:bottom w:val="single" w:sz="4" w:space="0" w:color="auto"/>
              <w:right w:val="nil"/>
            </w:tcBorders>
            <w:noWrap/>
            <w:vAlign w:val="center"/>
            <w:hideMark/>
          </w:tcPr>
          <w:p w:rsidR="004B7ABD" w:rsidRPr="004B7ABD" w:rsidRDefault="004B7ABD" w:rsidP="004B7ABD">
            <w:pPr>
              <w:spacing w:after="0"/>
              <w:jc w:val="right"/>
              <w:rPr>
                <w:rFonts w:ascii="Arial" w:hAnsi="Arial" w:cs="Arial"/>
                <w:b/>
                <w:bCs/>
                <w:color w:val="000000"/>
                <w:sz w:val="18"/>
                <w:szCs w:val="18"/>
              </w:rPr>
            </w:pPr>
            <w:r w:rsidRPr="004B7ABD">
              <w:rPr>
                <w:rFonts w:ascii="Arial" w:hAnsi="Arial" w:cs="Arial"/>
                <w:b/>
                <w:bCs/>
                <w:color w:val="000000"/>
                <w:sz w:val="18"/>
                <w:szCs w:val="18"/>
              </w:rPr>
              <w:t xml:space="preserve">3,81 </w:t>
            </w:r>
          </w:p>
        </w:tc>
        <w:tc>
          <w:tcPr>
            <w:tcW w:w="622" w:type="pct"/>
            <w:tcBorders>
              <w:top w:val="single" w:sz="4" w:space="0" w:color="auto"/>
              <w:left w:val="nil"/>
              <w:bottom w:val="single" w:sz="4" w:space="0" w:color="auto"/>
              <w:right w:val="nil"/>
            </w:tcBorders>
            <w:noWrap/>
            <w:vAlign w:val="center"/>
            <w:hideMark/>
          </w:tcPr>
          <w:p w:rsidR="004B7ABD" w:rsidRPr="004B7ABD" w:rsidRDefault="004B7ABD" w:rsidP="004B7ABD">
            <w:pPr>
              <w:spacing w:after="0"/>
              <w:jc w:val="right"/>
              <w:rPr>
                <w:rFonts w:ascii="Arial" w:hAnsi="Arial" w:cs="Arial"/>
                <w:b/>
                <w:bCs/>
                <w:color w:val="000000"/>
                <w:sz w:val="18"/>
                <w:szCs w:val="18"/>
              </w:rPr>
            </w:pPr>
            <w:r w:rsidRPr="004B7ABD">
              <w:rPr>
                <w:rFonts w:ascii="Arial" w:hAnsi="Arial" w:cs="Arial"/>
                <w:b/>
                <w:bCs/>
                <w:color w:val="000000"/>
                <w:sz w:val="18"/>
                <w:szCs w:val="18"/>
              </w:rPr>
              <w:t xml:space="preserve">124.901,07 </w:t>
            </w:r>
          </w:p>
        </w:tc>
        <w:tc>
          <w:tcPr>
            <w:tcW w:w="622" w:type="pct"/>
            <w:tcBorders>
              <w:top w:val="single" w:sz="4" w:space="0" w:color="auto"/>
              <w:left w:val="nil"/>
              <w:bottom w:val="single" w:sz="4" w:space="0" w:color="auto"/>
              <w:right w:val="nil"/>
            </w:tcBorders>
            <w:noWrap/>
            <w:vAlign w:val="center"/>
            <w:hideMark/>
          </w:tcPr>
          <w:p w:rsidR="004B7ABD" w:rsidRPr="004B7ABD" w:rsidRDefault="004B7ABD" w:rsidP="004B7ABD">
            <w:pPr>
              <w:spacing w:after="0"/>
              <w:jc w:val="right"/>
              <w:rPr>
                <w:rFonts w:ascii="Arial" w:hAnsi="Arial" w:cs="Arial"/>
                <w:b/>
                <w:bCs/>
                <w:color w:val="000000"/>
                <w:sz w:val="18"/>
                <w:szCs w:val="18"/>
              </w:rPr>
            </w:pPr>
            <w:r w:rsidRPr="004B7ABD">
              <w:rPr>
                <w:rFonts w:ascii="Arial" w:hAnsi="Arial" w:cs="Arial"/>
                <w:b/>
                <w:bCs/>
                <w:color w:val="000000"/>
                <w:sz w:val="18"/>
                <w:szCs w:val="18"/>
              </w:rPr>
              <w:t xml:space="preserve">9.393,19 </w:t>
            </w:r>
          </w:p>
        </w:tc>
        <w:tc>
          <w:tcPr>
            <w:tcW w:w="622" w:type="pct"/>
            <w:tcBorders>
              <w:top w:val="single" w:sz="4" w:space="0" w:color="auto"/>
              <w:left w:val="nil"/>
              <w:bottom w:val="single" w:sz="4" w:space="0" w:color="auto"/>
              <w:right w:val="nil"/>
            </w:tcBorders>
            <w:noWrap/>
            <w:vAlign w:val="center"/>
            <w:hideMark/>
          </w:tcPr>
          <w:p w:rsidR="004B7ABD" w:rsidRPr="004B7ABD" w:rsidRDefault="004B7ABD" w:rsidP="004B7ABD">
            <w:pPr>
              <w:spacing w:after="0"/>
              <w:jc w:val="right"/>
              <w:rPr>
                <w:rFonts w:ascii="Arial" w:hAnsi="Arial" w:cs="Arial"/>
                <w:b/>
                <w:bCs/>
                <w:color w:val="000000"/>
                <w:sz w:val="18"/>
                <w:szCs w:val="18"/>
              </w:rPr>
            </w:pPr>
            <w:r w:rsidRPr="004B7ABD">
              <w:rPr>
                <w:rFonts w:ascii="Arial" w:hAnsi="Arial" w:cs="Arial"/>
                <w:b/>
                <w:bCs/>
                <w:color w:val="000000"/>
                <w:sz w:val="18"/>
                <w:szCs w:val="18"/>
              </w:rPr>
              <w:t xml:space="preserve">32.930,24 </w:t>
            </w:r>
          </w:p>
        </w:tc>
      </w:tr>
    </w:tbl>
    <w:p w:rsidR="00523925" w:rsidRPr="00C67C91" w:rsidRDefault="00523925" w:rsidP="008C2F9C">
      <w:pPr>
        <w:pStyle w:val="CM2"/>
        <w:spacing w:before="120" w:after="120" w:line="260" w:lineRule="exact"/>
        <w:jc w:val="both"/>
        <w:rPr>
          <w:rFonts w:ascii="Arial" w:hAnsi="Arial" w:cs="Arial"/>
          <w:sz w:val="20"/>
          <w:szCs w:val="20"/>
        </w:rPr>
      </w:pPr>
      <w:r w:rsidRPr="00C67C91">
        <w:rPr>
          <w:rFonts w:ascii="Arial" w:hAnsi="Arial" w:cs="Arial"/>
          <w:sz w:val="20"/>
          <w:szCs w:val="20"/>
        </w:rPr>
        <w:t xml:space="preserve">La cuenta de crédito fiscal por compensación de pérdidas al inicio y fin del ejercicio presenta un saldo de 9.153,21 </w:t>
      </w:r>
      <w:r w:rsidR="00D30DFA" w:rsidRPr="00C67C91">
        <w:rPr>
          <w:rFonts w:ascii="Arial" w:hAnsi="Arial" w:cs="Arial"/>
          <w:sz w:val="20"/>
          <w:szCs w:val="20"/>
        </w:rPr>
        <w:t>euros (9.153,21 euros en 2019).</w:t>
      </w:r>
    </w:p>
    <w:p w:rsidR="00523925" w:rsidRPr="00C67C91" w:rsidRDefault="00523925" w:rsidP="0020061C">
      <w:pPr>
        <w:pStyle w:val="CM20"/>
        <w:keepNext/>
        <w:keepLines/>
        <w:spacing w:before="120" w:after="0" w:line="260" w:lineRule="exact"/>
        <w:jc w:val="both"/>
        <w:rPr>
          <w:rFonts w:ascii="Arial" w:hAnsi="Arial" w:cs="Arial"/>
          <w:b/>
          <w:bCs/>
          <w:sz w:val="20"/>
          <w:szCs w:val="20"/>
          <w:u w:val="single"/>
        </w:rPr>
      </w:pPr>
      <w:r w:rsidRPr="00C67C91">
        <w:rPr>
          <w:rFonts w:ascii="Arial" w:hAnsi="Arial" w:cs="Arial"/>
          <w:b/>
          <w:bCs/>
          <w:sz w:val="20"/>
          <w:szCs w:val="20"/>
          <w:u w:val="single"/>
        </w:rPr>
        <w:lastRenderedPageBreak/>
        <w:t>Impuesto sobre Beneficios</w:t>
      </w:r>
    </w:p>
    <w:p w:rsidR="00523925" w:rsidRPr="00C67C91" w:rsidRDefault="00523925" w:rsidP="0020061C">
      <w:pPr>
        <w:pStyle w:val="CM20"/>
        <w:keepNext/>
        <w:keepLines/>
        <w:spacing w:before="120" w:after="120" w:line="260" w:lineRule="exact"/>
        <w:jc w:val="both"/>
        <w:rPr>
          <w:rFonts w:ascii="Arial" w:hAnsi="Arial" w:cs="Arial"/>
          <w:sz w:val="20"/>
          <w:szCs w:val="20"/>
        </w:rPr>
      </w:pPr>
      <w:r w:rsidRPr="00C67C91">
        <w:rPr>
          <w:rFonts w:ascii="Arial" w:hAnsi="Arial" w:cs="Arial"/>
          <w:sz w:val="20"/>
          <w:szCs w:val="20"/>
        </w:rPr>
        <w:t>La Sociedad tributa en el régimen de consolidación fiscal. ITER</w:t>
      </w:r>
      <w:r w:rsidR="004B7ABD">
        <w:rPr>
          <w:rFonts w:ascii="Arial" w:hAnsi="Arial" w:cs="Arial"/>
          <w:sz w:val="20"/>
          <w:szCs w:val="20"/>
        </w:rPr>
        <w:t>, S.A.</w:t>
      </w:r>
      <w:r w:rsidRPr="00C67C91">
        <w:rPr>
          <w:rFonts w:ascii="Arial" w:hAnsi="Arial" w:cs="Arial"/>
          <w:sz w:val="20"/>
          <w:szCs w:val="20"/>
        </w:rPr>
        <w:t xml:space="preserve">,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 </w:t>
      </w:r>
    </w:p>
    <w:p w:rsidR="00523925" w:rsidRPr="00C67C91" w:rsidRDefault="00523925" w:rsidP="008C2F9C">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 </w:t>
      </w:r>
    </w:p>
    <w:p w:rsidR="00523925" w:rsidRPr="00C67C91" w:rsidRDefault="00523925" w:rsidP="008C2F9C">
      <w:pPr>
        <w:pStyle w:val="CM20"/>
        <w:spacing w:before="120" w:after="120" w:line="260" w:lineRule="exact"/>
        <w:jc w:val="both"/>
        <w:rPr>
          <w:rFonts w:ascii="Arial" w:hAnsi="Arial" w:cs="Arial"/>
          <w:sz w:val="20"/>
          <w:szCs w:val="20"/>
        </w:rPr>
      </w:pPr>
      <w:r w:rsidRPr="00C67C91">
        <w:rPr>
          <w:rFonts w:ascii="Arial" w:hAnsi="Arial" w:cs="Arial"/>
          <w:sz w:val="20"/>
          <w:szCs w:val="20"/>
        </w:rPr>
        <w:t xml:space="preserve">Siguiendo la NRV 13ª del PGC, las deducciones y otras ventajas fiscales no utilizadas que queden pendientes de aplicar fiscalmente, así como el derecho a compensar pérdidas fiscales en ejercicios posteriores se reconocen como un activo por impuesto diferido. </w:t>
      </w:r>
    </w:p>
    <w:p w:rsidR="003E0CED" w:rsidRPr="00C67C91" w:rsidRDefault="003E0CED" w:rsidP="008C2F9C">
      <w:pPr>
        <w:pStyle w:val="CM23"/>
        <w:spacing w:before="120" w:after="120" w:line="260" w:lineRule="exact"/>
        <w:jc w:val="both"/>
        <w:rPr>
          <w:rFonts w:ascii="Arial" w:hAnsi="Arial" w:cs="Arial"/>
          <w:sz w:val="20"/>
          <w:szCs w:val="20"/>
        </w:rPr>
      </w:pPr>
      <w:r w:rsidRPr="00C67C91">
        <w:rPr>
          <w:rFonts w:ascii="Arial" w:hAnsi="Arial" w:cs="Arial"/>
          <w:sz w:val="20"/>
          <w:szCs w:val="20"/>
        </w:rPr>
        <w:t>Permanecen abiertos a Inspección los ejercicios 2016, 2017, 2018</w:t>
      </w:r>
      <w:r w:rsidR="00CD65A7" w:rsidRPr="00C67C91">
        <w:rPr>
          <w:rFonts w:ascii="Arial" w:hAnsi="Arial" w:cs="Arial"/>
          <w:sz w:val="20"/>
          <w:szCs w:val="20"/>
        </w:rPr>
        <w:t>,</w:t>
      </w:r>
      <w:r w:rsidRPr="00C67C91">
        <w:rPr>
          <w:rFonts w:ascii="Arial" w:hAnsi="Arial" w:cs="Arial"/>
          <w:sz w:val="20"/>
          <w:szCs w:val="20"/>
        </w:rPr>
        <w:t xml:space="preserve"> 2019 </w:t>
      </w:r>
      <w:r w:rsidR="00CD65A7" w:rsidRPr="00C67C91">
        <w:rPr>
          <w:rFonts w:ascii="Arial" w:hAnsi="Arial" w:cs="Arial"/>
          <w:sz w:val="20"/>
          <w:szCs w:val="20"/>
        </w:rPr>
        <w:t xml:space="preserve">y 2020 </w:t>
      </w:r>
      <w:r w:rsidRPr="00C67C91">
        <w:rPr>
          <w:rFonts w:ascii="Arial" w:hAnsi="Arial" w:cs="Arial"/>
          <w:sz w:val="20"/>
          <w:szCs w:val="20"/>
        </w:rPr>
        <w:t xml:space="preserve">para aquellos impuestos de los que la sociedad es sujeto pasivo. </w:t>
      </w:r>
    </w:p>
    <w:p w:rsidR="002D40F2" w:rsidRPr="00C67C91" w:rsidRDefault="005F2AFD" w:rsidP="008C2F9C">
      <w:pPr>
        <w:keepNext/>
        <w:keepLines/>
        <w:widowControl w:val="0"/>
        <w:spacing w:before="120" w:after="120" w:line="260" w:lineRule="exact"/>
        <w:jc w:val="both"/>
        <w:rPr>
          <w:rFonts w:ascii="Arial" w:hAnsi="Arial" w:cs="Arial"/>
          <w:sz w:val="20"/>
          <w:szCs w:val="20"/>
        </w:rPr>
      </w:pPr>
      <w:r w:rsidRPr="00C67C91">
        <w:rPr>
          <w:rFonts w:ascii="Arial" w:hAnsi="Arial" w:cs="Arial"/>
          <w:sz w:val="20"/>
          <w:szCs w:val="20"/>
        </w:rPr>
        <w:t>La conciliación del importe neto de ingresos y gastos del ejercicio con la base imponible del Impuesto sobre Beneficios es la siguiente, en euros:</w:t>
      </w:r>
    </w:p>
    <w:tbl>
      <w:tblPr>
        <w:tblW w:w="5045" w:type="pct"/>
        <w:tblLayout w:type="fixed"/>
        <w:tblCellMar>
          <w:left w:w="70" w:type="dxa"/>
          <w:right w:w="70" w:type="dxa"/>
        </w:tblCellMar>
        <w:tblLook w:val="04A0"/>
      </w:tblPr>
      <w:tblGrid>
        <w:gridCol w:w="2909"/>
        <w:gridCol w:w="801"/>
        <w:gridCol w:w="1043"/>
        <w:gridCol w:w="1132"/>
        <w:gridCol w:w="987"/>
        <w:gridCol w:w="710"/>
        <w:gridCol w:w="1141"/>
      </w:tblGrid>
      <w:tr w:rsidR="00CC451B" w:rsidRPr="00CC451B" w:rsidTr="008C2F9C">
        <w:trPr>
          <w:trHeight w:val="283"/>
        </w:trPr>
        <w:tc>
          <w:tcPr>
            <w:tcW w:w="1667" w:type="pct"/>
            <w:tcBorders>
              <w:top w:val="nil"/>
              <w:left w:val="nil"/>
              <w:bottom w:val="single" w:sz="4" w:space="0" w:color="auto"/>
              <w:right w:val="nil"/>
            </w:tcBorders>
            <w:shd w:val="clear" w:color="000000" w:fill="D9D9D9"/>
            <w:noWrap/>
            <w:vAlign w:val="bottom"/>
            <w:hideMark/>
          </w:tcPr>
          <w:p w:rsidR="00CC451B" w:rsidRPr="00CC451B" w:rsidRDefault="00CC451B" w:rsidP="00CC451B">
            <w:pPr>
              <w:keepNext/>
              <w:keepLines/>
              <w:widowControl w:val="0"/>
              <w:spacing w:after="0" w:line="240" w:lineRule="auto"/>
              <w:rPr>
                <w:rFonts w:ascii="Arial" w:hAnsi="Arial" w:cs="Arial"/>
                <w:b/>
                <w:bCs/>
                <w:color w:val="000000"/>
                <w:sz w:val="17"/>
                <w:szCs w:val="17"/>
              </w:rPr>
            </w:pPr>
            <w:r w:rsidRPr="00CC451B">
              <w:rPr>
                <w:rFonts w:ascii="Arial" w:hAnsi="Arial" w:cs="Arial"/>
                <w:b/>
                <w:bCs/>
                <w:color w:val="000000"/>
                <w:sz w:val="17"/>
                <w:szCs w:val="17"/>
              </w:rPr>
              <w:t> </w:t>
            </w:r>
          </w:p>
        </w:tc>
        <w:tc>
          <w:tcPr>
            <w:tcW w:w="1706" w:type="pct"/>
            <w:gridSpan w:val="3"/>
            <w:tcBorders>
              <w:top w:val="nil"/>
              <w:left w:val="nil"/>
              <w:bottom w:val="single" w:sz="4" w:space="0" w:color="auto"/>
              <w:right w:val="nil"/>
            </w:tcBorders>
            <w:shd w:val="clear" w:color="000000" w:fill="D9D9D9"/>
            <w:noWrap/>
            <w:vAlign w:val="bottom"/>
            <w:hideMark/>
          </w:tcPr>
          <w:p w:rsidR="008C2F9C" w:rsidRDefault="00CC451B" w:rsidP="00CC451B">
            <w:pPr>
              <w:keepNext/>
              <w:keepLines/>
              <w:widowControl w:val="0"/>
              <w:spacing w:after="0" w:line="240" w:lineRule="auto"/>
              <w:jc w:val="center"/>
              <w:rPr>
                <w:rFonts w:ascii="Arial" w:hAnsi="Arial" w:cs="Arial"/>
                <w:b/>
                <w:bCs/>
                <w:color w:val="000000"/>
                <w:sz w:val="17"/>
                <w:szCs w:val="17"/>
              </w:rPr>
            </w:pPr>
            <w:r w:rsidRPr="00CC451B">
              <w:rPr>
                <w:rFonts w:ascii="Arial" w:hAnsi="Arial" w:cs="Arial"/>
                <w:b/>
                <w:bCs/>
                <w:color w:val="000000"/>
                <w:sz w:val="17"/>
                <w:szCs w:val="17"/>
              </w:rPr>
              <w:t xml:space="preserve"> 2020</w:t>
            </w:r>
          </w:p>
          <w:p w:rsidR="00CC451B" w:rsidRPr="00CC451B" w:rsidRDefault="00CC451B" w:rsidP="00CC451B">
            <w:pPr>
              <w:keepNext/>
              <w:keepLines/>
              <w:widowControl w:val="0"/>
              <w:spacing w:after="0" w:line="240" w:lineRule="auto"/>
              <w:jc w:val="center"/>
              <w:rPr>
                <w:rFonts w:ascii="Arial" w:hAnsi="Arial" w:cs="Arial"/>
                <w:b/>
                <w:bCs/>
                <w:color w:val="000000"/>
                <w:sz w:val="17"/>
                <w:szCs w:val="17"/>
              </w:rPr>
            </w:pPr>
            <w:r w:rsidRPr="00CC451B">
              <w:rPr>
                <w:rFonts w:ascii="Arial" w:hAnsi="Arial" w:cs="Arial"/>
                <w:b/>
                <w:bCs/>
                <w:color w:val="000000"/>
                <w:sz w:val="17"/>
                <w:szCs w:val="17"/>
              </w:rPr>
              <w:t xml:space="preserve">Cuenta de Pérdidas y Ganancias </w:t>
            </w:r>
          </w:p>
        </w:tc>
        <w:tc>
          <w:tcPr>
            <w:tcW w:w="1627" w:type="pct"/>
            <w:gridSpan w:val="3"/>
            <w:tcBorders>
              <w:top w:val="nil"/>
              <w:left w:val="nil"/>
              <w:bottom w:val="single" w:sz="4" w:space="0" w:color="auto"/>
              <w:right w:val="nil"/>
            </w:tcBorders>
            <w:shd w:val="clear" w:color="000000" w:fill="D9D9D9"/>
            <w:vAlign w:val="bottom"/>
            <w:hideMark/>
          </w:tcPr>
          <w:p w:rsidR="008C2F9C" w:rsidRDefault="00CC451B" w:rsidP="00CC451B">
            <w:pPr>
              <w:keepNext/>
              <w:keepLines/>
              <w:widowControl w:val="0"/>
              <w:spacing w:after="0" w:line="240" w:lineRule="auto"/>
              <w:jc w:val="center"/>
              <w:rPr>
                <w:rFonts w:ascii="Arial" w:hAnsi="Arial" w:cs="Arial"/>
                <w:b/>
                <w:bCs/>
                <w:color w:val="000000"/>
                <w:sz w:val="17"/>
                <w:szCs w:val="17"/>
              </w:rPr>
            </w:pPr>
            <w:r w:rsidRPr="00CC451B">
              <w:rPr>
                <w:rFonts w:ascii="Arial" w:hAnsi="Arial" w:cs="Arial"/>
                <w:b/>
                <w:bCs/>
                <w:color w:val="000000"/>
                <w:sz w:val="17"/>
                <w:szCs w:val="17"/>
              </w:rPr>
              <w:t>2019</w:t>
            </w:r>
          </w:p>
          <w:p w:rsidR="00CC451B" w:rsidRPr="00CC451B" w:rsidRDefault="00CC451B" w:rsidP="00CC451B">
            <w:pPr>
              <w:keepNext/>
              <w:keepLines/>
              <w:widowControl w:val="0"/>
              <w:spacing w:after="0" w:line="240" w:lineRule="auto"/>
              <w:jc w:val="center"/>
              <w:rPr>
                <w:rFonts w:ascii="Arial" w:hAnsi="Arial" w:cs="Arial"/>
                <w:b/>
                <w:bCs/>
                <w:color w:val="000000"/>
                <w:sz w:val="17"/>
                <w:szCs w:val="17"/>
              </w:rPr>
            </w:pPr>
            <w:r w:rsidRPr="00CC451B">
              <w:rPr>
                <w:rFonts w:ascii="Arial" w:hAnsi="Arial" w:cs="Arial"/>
                <w:b/>
                <w:bCs/>
                <w:color w:val="000000"/>
                <w:sz w:val="17"/>
                <w:szCs w:val="17"/>
              </w:rPr>
              <w:t>Cuenta de Pérdidas y Ganancias</w:t>
            </w:r>
          </w:p>
        </w:tc>
      </w:tr>
      <w:tr w:rsidR="00CC451B" w:rsidRPr="00CC451B" w:rsidTr="008C2F9C">
        <w:trPr>
          <w:trHeight w:val="283"/>
        </w:trPr>
        <w:tc>
          <w:tcPr>
            <w:tcW w:w="2724" w:type="pct"/>
            <w:gridSpan w:val="3"/>
            <w:tcBorders>
              <w:top w:val="nil"/>
              <w:left w:val="nil"/>
              <w:bottom w:val="single" w:sz="4" w:space="0" w:color="auto"/>
              <w:right w:val="nil"/>
            </w:tcBorders>
            <w:shd w:val="clear" w:color="000000" w:fill="F2F2F2"/>
            <w:noWrap/>
            <w:vAlign w:val="center"/>
            <w:hideMark/>
          </w:tcPr>
          <w:p w:rsidR="00CC451B" w:rsidRPr="00CC451B" w:rsidRDefault="00CC451B" w:rsidP="00CC451B">
            <w:pPr>
              <w:keepNext/>
              <w:keepLines/>
              <w:widowControl w:val="0"/>
              <w:spacing w:after="0" w:line="240" w:lineRule="auto"/>
              <w:rPr>
                <w:rFonts w:ascii="Arial" w:hAnsi="Arial" w:cs="Arial"/>
                <w:b/>
                <w:bCs/>
                <w:color w:val="000000"/>
                <w:sz w:val="17"/>
                <w:szCs w:val="17"/>
              </w:rPr>
            </w:pPr>
            <w:r w:rsidRPr="00CC451B">
              <w:rPr>
                <w:rFonts w:ascii="Arial" w:hAnsi="Arial" w:cs="Arial"/>
                <w:b/>
                <w:bCs/>
                <w:color w:val="000000"/>
                <w:sz w:val="17"/>
                <w:szCs w:val="17"/>
              </w:rPr>
              <w:t>Resultado del ejercicio (Después de impuestos)</w:t>
            </w:r>
          </w:p>
        </w:tc>
        <w:tc>
          <w:tcPr>
            <w:tcW w:w="649" w:type="pct"/>
            <w:tcBorders>
              <w:top w:val="nil"/>
              <w:left w:val="nil"/>
              <w:bottom w:val="single" w:sz="4" w:space="0" w:color="auto"/>
              <w:right w:val="nil"/>
            </w:tcBorders>
            <w:shd w:val="clear" w:color="000000" w:fill="F2F2F2"/>
            <w:noWrap/>
            <w:vAlign w:val="center"/>
            <w:hideMark/>
          </w:tcPr>
          <w:p w:rsidR="00CC451B" w:rsidRPr="00CC451B" w:rsidRDefault="00CC451B" w:rsidP="00CC451B">
            <w:pPr>
              <w:keepNext/>
              <w:keepLines/>
              <w:widowControl w:val="0"/>
              <w:spacing w:after="0" w:line="240" w:lineRule="auto"/>
              <w:rPr>
                <w:rFonts w:ascii="Arial" w:hAnsi="Arial" w:cs="Arial"/>
                <w:b/>
                <w:bCs/>
                <w:color w:val="000000"/>
                <w:sz w:val="17"/>
                <w:szCs w:val="17"/>
              </w:rPr>
            </w:pPr>
            <w:r w:rsidRPr="00CC451B">
              <w:rPr>
                <w:rFonts w:ascii="Arial" w:hAnsi="Arial" w:cs="Arial"/>
                <w:b/>
                <w:bCs/>
                <w:color w:val="000000"/>
                <w:sz w:val="17"/>
                <w:szCs w:val="17"/>
              </w:rPr>
              <w:t xml:space="preserve">-41.093,13 </w:t>
            </w:r>
          </w:p>
        </w:tc>
        <w:tc>
          <w:tcPr>
            <w:tcW w:w="566" w:type="pct"/>
            <w:tcBorders>
              <w:top w:val="nil"/>
              <w:left w:val="nil"/>
              <w:bottom w:val="single" w:sz="4" w:space="0" w:color="auto"/>
              <w:right w:val="nil"/>
            </w:tcBorders>
            <w:shd w:val="clear" w:color="000000" w:fill="F2F2F2"/>
            <w:noWrap/>
            <w:vAlign w:val="center"/>
            <w:hideMark/>
          </w:tcPr>
          <w:p w:rsidR="00CC451B" w:rsidRPr="00CC451B" w:rsidRDefault="00CC451B" w:rsidP="00CC451B">
            <w:pPr>
              <w:keepNext/>
              <w:keepLines/>
              <w:widowControl w:val="0"/>
              <w:spacing w:after="0" w:line="240" w:lineRule="auto"/>
              <w:rPr>
                <w:rFonts w:ascii="Arial" w:hAnsi="Arial" w:cs="Arial"/>
                <w:b/>
                <w:bCs/>
                <w:color w:val="000000"/>
                <w:sz w:val="17"/>
                <w:szCs w:val="17"/>
              </w:rPr>
            </w:pPr>
            <w:r w:rsidRPr="00CC451B">
              <w:rPr>
                <w:rFonts w:ascii="Arial" w:hAnsi="Arial" w:cs="Arial"/>
                <w:b/>
                <w:bCs/>
                <w:color w:val="000000"/>
                <w:sz w:val="17"/>
                <w:szCs w:val="17"/>
              </w:rPr>
              <w:t> </w:t>
            </w:r>
          </w:p>
        </w:tc>
        <w:tc>
          <w:tcPr>
            <w:tcW w:w="407" w:type="pct"/>
            <w:tcBorders>
              <w:top w:val="nil"/>
              <w:left w:val="nil"/>
              <w:bottom w:val="single" w:sz="4" w:space="0" w:color="auto"/>
              <w:right w:val="nil"/>
            </w:tcBorders>
            <w:shd w:val="clear" w:color="000000" w:fill="F2F2F2"/>
            <w:noWrap/>
            <w:vAlign w:val="center"/>
            <w:hideMark/>
          </w:tcPr>
          <w:p w:rsidR="00CC451B" w:rsidRPr="00CC451B" w:rsidRDefault="00CC451B" w:rsidP="00CC451B">
            <w:pPr>
              <w:keepNext/>
              <w:keepLines/>
              <w:widowControl w:val="0"/>
              <w:spacing w:after="0" w:line="240" w:lineRule="auto"/>
              <w:rPr>
                <w:rFonts w:ascii="Arial" w:hAnsi="Arial" w:cs="Arial"/>
                <w:b/>
                <w:bCs/>
                <w:color w:val="000000"/>
                <w:sz w:val="17"/>
                <w:szCs w:val="17"/>
              </w:rPr>
            </w:pPr>
            <w:r w:rsidRPr="00CC451B">
              <w:rPr>
                <w:rFonts w:ascii="Arial" w:hAnsi="Arial" w:cs="Arial"/>
                <w:b/>
                <w:bCs/>
                <w:color w:val="000000"/>
                <w:sz w:val="17"/>
                <w:szCs w:val="17"/>
              </w:rPr>
              <w:t> </w:t>
            </w:r>
          </w:p>
        </w:tc>
        <w:tc>
          <w:tcPr>
            <w:tcW w:w="652" w:type="pct"/>
            <w:tcBorders>
              <w:top w:val="nil"/>
              <w:left w:val="nil"/>
              <w:bottom w:val="single" w:sz="4" w:space="0" w:color="auto"/>
              <w:right w:val="nil"/>
            </w:tcBorders>
            <w:shd w:val="clear" w:color="000000" w:fill="F2F2F2"/>
            <w:noWrap/>
            <w:vAlign w:val="center"/>
            <w:hideMark/>
          </w:tcPr>
          <w:p w:rsidR="00CC451B" w:rsidRPr="00CC451B" w:rsidRDefault="00CC451B" w:rsidP="00CC451B">
            <w:pPr>
              <w:keepNext/>
              <w:keepLines/>
              <w:widowControl w:val="0"/>
              <w:spacing w:after="0" w:line="240" w:lineRule="auto"/>
              <w:rPr>
                <w:rFonts w:ascii="Arial" w:hAnsi="Arial" w:cs="Arial"/>
                <w:b/>
                <w:bCs/>
                <w:color w:val="000000"/>
                <w:sz w:val="17"/>
                <w:szCs w:val="17"/>
              </w:rPr>
            </w:pPr>
            <w:r w:rsidRPr="00CC451B">
              <w:rPr>
                <w:rFonts w:ascii="Arial" w:hAnsi="Arial" w:cs="Arial"/>
                <w:b/>
                <w:bCs/>
                <w:color w:val="000000"/>
                <w:sz w:val="17"/>
                <w:szCs w:val="17"/>
              </w:rPr>
              <w:t xml:space="preserve">185.222,62 </w:t>
            </w:r>
          </w:p>
        </w:tc>
      </w:tr>
      <w:tr w:rsidR="00CC451B" w:rsidRPr="00CC451B" w:rsidTr="008C2F9C">
        <w:trPr>
          <w:trHeight w:val="283"/>
        </w:trPr>
        <w:tc>
          <w:tcPr>
            <w:tcW w:w="1667"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rPr>
                <w:rFonts w:ascii="Arial" w:hAnsi="Arial" w:cs="Arial"/>
                <w:b/>
                <w:bCs/>
                <w:color w:val="000000"/>
                <w:sz w:val="17"/>
                <w:szCs w:val="17"/>
              </w:rPr>
            </w:pPr>
          </w:p>
        </w:tc>
        <w:tc>
          <w:tcPr>
            <w:tcW w:w="459" w:type="pct"/>
            <w:tcBorders>
              <w:top w:val="nil"/>
              <w:left w:val="nil"/>
              <w:bottom w:val="nil"/>
              <w:right w:val="nil"/>
            </w:tcBorders>
            <w:noWrap/>
            <w:vAlign w:val="bottom"/>
            <w:hideMark/>
          </w:tcPr>
          <w:p w:rsidR="00CC451B" w:rsidRPr="00CC451B" w:rsidRDefault="00CC451B" w:rsidP="00CC451B">
            <w:pPr>
              <w:keepNext/>
              <w:keepLines/>
              <w:widowControl w:val="0"/>
              <w:spacing w:after="0" w:line="240" w:lineRule="auto"/>
              <w:jc w:val="center"/>
              <w:rPr>
                <w:rFonts w:ascii="Arial" w:hAnsi="Arial" w:cs="Arial"/>
                <w:color w:val="000000"/>
                <w:sz w:val="17"/>
                <w:szCs w:val="17"/>
              </w:rPr>
            </w:pPr>
            <w:r w:rsidRPr="00CC451B">
              <w:rPr>
                <w:rFonts w:ascii="Arial" w:hAnsi="Arial" w:cs="Arial"/>
                <w:color w:val="000000"/>
                <w:sz w:val="17"/>
                <w:szCs w:val="17"/>
              </w:rPr>
              <w:t>A</w:t>
            </w:r>
          </w:p>
        </w:tc>
        <w:tc>
          <w:tcPr>
            <w:tcW w:w="598" w:type="pct"/>
            <w:tcBorders>
              <w:top w:val="nil"/>
              <w:left w:val="nil"/>
              <w:bottom w:val="nil"/>
              <w:right w:val="nil"/>
            </w:tcBorders>
            <w:noWrap/>
            <w:vAlign w:val="bottom"/>
            <w:hideMark/>
          </w:tcPr>
          <w:p w:rsidR="00CC451B" w:rsidRPr="00CC451B" w:rsidRDefault="00CC451B" w:rsidP="00CC451B">
            <w:pPr>
              <w:keepNext/>
              <w:keepLines/>
              <w:widowControl w:val="0"/>
              <w:spacing w:after="0" w:line="240" w:lineRule="auto"/>
              <w:jc w:val="center"/>
              <w:rPr>
                <w:rFonts w:ascii="Arial" w:hAnsi="Arial" w:cs="Arial"/>
                <w:color w:val="000000"/>
                <w:sz w:val="17"/>
                <w:szCs w:val="17"/>
              </w:rPr>
            </w:pPr>
            <w:r w:rsidRPr="00CC451B">
              <w:rPr>
                <w:rFonts w:ascii="Arial" w:hAnsi="Arial" w:cs="Arial"/>
                <w:color w:val="000000"/>
                <w:sz w:val="17"/>
                <w:szCs w:val="17"/>
              </w:rPr>
              <w:t>D</w:t>
            </w:r>
          </w:p>
        </w:tc>
        <w:tc>
          <w:tcPr>
            <w:tcW w:w="649" w:type="pct"/>
            <w:tcBorders>
              <w:top w:val="nil"/>
              <w:left w:val="nil"/>
              <w:bottom w:val="nil"/>
              <w:right w:val="nil"/>
            </w:tcBorders>
            <w:noWrap/>
            <w:vAlign w:val="bottom"/>
            <w:hideMark/>
          </w:tcPr>
          <w:p w:rsidR="00CC451B" w:rsidRPr="00CC451B" w:rsidRDefault="00CC451B" w:rsidP="00CC451B">
            <w:pPr>
              <w:keepNext/>
              <w:keepLines/>
              <w:widowControl w:val="0"/>
              <w:spacing w:after="0" w:line="240" w:lineRule="auto"/>
              <w:jc w:val="center"/>
              <w:rPr>
                <w:rFonts w:ascii="Arial" w:hAnsi="Arial" w:cs="Arial"/>
                <w:color w:val="000000"/>
                <w:sz w:val="17"/>
                <w:szCs w:val="17"/>
              </w:rPr>
            </w:pPr>
            <w:r w:rsidRPr="00CC451B">
              <w:rPr>
                <w:rFonts w:ascii="Arial" w:hAnsi="Arial" w:cs="Arial"/>
                <w:color w:val="000000"/>
                <w:sz w:val="17"/>
                <w:szCs w:val="17"/>
              </w:rPr>
              <w:t>Efecto Neto</w:t>
            </w:r>
          </w:p>
        </w:tc>
        <w:tc>
          <w:tcPr>
            <w:tcW w:w="566" w:type="pct"/>
            <w:tcBorders>
              <w:top w:val="nil"/>
              <w:left w:val="nil"/>
              <w:bottom w:val="nil"/>
              <w:right w:val="nil"/>
            </w:tcBorders>
            <w:noWrap/>
            <w:vAlign w:val="bottom"/>
            <w:hideMark/>
          </w:tcPr>
          <w:p w:rsidR="00CC451B" w:rsidRPr="00CC451B" w:rsidRDefault="00CC451B" w:rsidP="00CC451B">
            <w:pPr>
              <w:keepNext/>
              <w:keepLines/>
              <w:widowControl w:val="0"/>
              <w:spacing w:after="0" w:line="240" w:lineRule="auto"/>
              <w:jc w:val="center"/>
              <w:rPr>
                <w:rFonts w:ascii="Arial" w:hAnsi="Arial" w:cs="Arial"/>
                <w:color w:val="000000"/>
                <w:sz w:val="17"/>
                <w:szCs w:val="17"/>
              </w:rPr>
            </w:pPr>
            <w:r w:rsidRPr="00CC451B">
              <w:rPr>
                <w:rFonts w:ascii="Arial" w:hAnsi="Arial" w:cs="Arial"/>
                <w:color w:val="000000"/>
                <w:sz w:val="17"/>
                <w:szCs w:val="17"/>
              </w:rPr>
              <w:t>A</w:t>
            </w:r>
          </w:p>
        </w:tc>
        <w:tc>
          <w:tcPr>
            <w:tcW w:w="407" w:type="pct"/>
            <w:tcBorders>
              <w:top w:val="nil"/>
              <w:left w:val="nil"/>
              <w:bottom w:val="nil"/>
              <w:right w:val="nil"/>
            </w:tcBorders>
            <w:noWrap/>
            <w:vAlign w:val="bottom"/>
            <w:hideMark/>
          </w:tcPr>
          <w:p w:rsidR="00CC451B" w:rsidRPr="00CC451B" w:rsidRDefault="00CC451B" w:rsidP="00CC451B">
            <w:pPr>
              <w:keepNext/>
              <w:keepLines/>
              <w:widowControl w:val="0"/>
              <w:spacing w:after="0" w:line="240" w:lineRule="auto"/>
              <w:jc w:val="center"/>
              <w:rPr>
                <w:rFonts w:ascii="Arial" w:hAnsi="Arial" w:cs="Arial"/>
                <w:color w:val="000000"/>
                <w:sz w:val="17"/>
                <w:szCs w:val="17"/>
              </w:rPr>
            </w:pPr>
            <w:r w:rsidRPr="00CC451B">
              <w:rPr>
                <w:rFonts w:ascii="Arial" w:hAnsi="Arial" w:cs="Arial"/>
                <w:color w:val="000000"/>
                <w:sz w:val="17"/>
                <w:szCs w:val="17"/>
              </w:rPr>
              <w:t>D</w:t>
            </w:r>
          </w:p>
        </w:tc>
        <w:tc>
          <w:tcPr>
            <w:tcW w:w="652" w:type="pct"/>
            <w:tcBorders>
              <w:top w:val="nil"/>
              <w:left w:val="nil"/>
              <w:bottom w:val="nil"/>
              <w:right w:val="nil"/>
            </w:tcBorders>
            <w:noWrap/>
            <w:vAlign w:val="bottom"/>
            <w:hideMark/>
          </w:tcPr>
          <w:p w:rsidR="00CC451B" w:rsidRPr="00CC451B" w:rsidRDefault="00CC451B" w:rsidP="00CC451B">
            <w:pPr>
              <w:keepNext/>
              <w:keepLines/>
              <w:widowControl w:val="0"/>
              <w:spacing w:after="0" w:line="240" w:lineRule="auto"/>
              <w:jc w:val="center"/>
              <w:rPr>
                <w:rFonts w:ascii="Arial" w:hAnsi="Arial" w:cs="Arial"/>
                <w:color w:val="000000"/>
                <w:sz w:val="17"/>
                <w:szCs w:val="17"/>
              </w:rPr>
            </w:pPr>
            <w:r w:rsidRPr="00CC451B">
              <w:rPr>
                <w:rFonts w:ascii="Arial" w:hAnsi="Arial" w:cs="Arial"/>
                <w:color w:val="000000"/>
                <w:sz w:val="17"/>
                <w:szCs w:val="17"/>
              </w:rPr>
              <w:t>Efecto Neto</w:t>
            </w:r>
          </w:p>
        </w:tc>
      </w:tr>
      <w:tr w:rsidR="00CC451B" w:rsidRPr="00CC451B" w:rsidTr="008C2F9C">
        <w:trPr>
          <w:trHeight w:val="283"/>
        </w:trPr>
        <w:tc>
          <w:tcPr>
            <w:tcW w:w="1667"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rPr>
                <w:rFonts w:ascii="Arial" w:hAnsi="Arial" w:cs="Arial"/>
                <w:color w:val="000000"/>
                <w:sz w:val="17"/>
                <w:szCs w:val="17"/>
              </w:rPr>
            </w:pPr>
            <w:r w:rsidRPr="00CC451B">
              <w:rPr>
                <w:rFonts w:ascii="Arial" w:hAnsi="Arial" w:cs="Arial"/>
                <w:color w:val="000000"/>
                <w:sz w:val="17"/>
                <w:szCs w:val="17"/>
              </w:rPr>
              <w:t>Impuesto sobre beneficios</w:t>
            </w:r>
          </w:p>
        </w:tc>
        <w:tc>
          <w:tcPr>
            <w:tcW w:w="459"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 xml:space="preserve">- </w:t>
            </w:r>
          </w:p>
        </w:tc>
        <w:tc>
          <w:tcPr>
            <w:tcW w:w="598"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 xml:space="preserve">13.697,71 </w:t>
            </w:r>
          </w:p>
        </w:tc>
        <w:tc>
          <w:tcPr>
            <w:tcW w:w="649"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 xml:space="preserve">-13.697,71 </w:t>
            </w:r>
          </w:p>
        </w:tc>
        <w:tc>
          <w:tcPr>
            <w:tcW w:w="566"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 xml:space="preserve">61.740,88 </w:t>
            </w:r>
          </w:p>
        </w:tc>
        <w:tc>
          <w:tcPr>
            <w:tcW w:w="407"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c>
          <w:tcPr>
            <w:tcW w:w="652"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61.740,88</w:t>
            </w:r>
          </w:p>
        </w:tc>
      </w:tr>
      <w:tr w:rsidR="00CC451B" w:rsidRPr="00CC451B" w:rsidTr="008C2F9C">
        <w:trPr>
          <w:trHeight w:val="283"/>
        </w:trPr>
        <w:tc>
          <w:tcPr>
            <w:tcW w:w="1667"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rPr>
                <w:rFonts w:ascii="Arial" w:hAnsi="Arial" w:cs="Arial"/>
                <w:color w:val="000000"/>
                <w:sz w:val="17"/>
                <w:szCs w:val="17"/>
              </w:rPr>
            </w:pPr>
            <w:r w:rsidRPr="00CC451B">
              <w:rPr>
                <w:rFonts w:ascii="Arial" w:hAnsi="Arial" w:cs="Arial"/>
                <w:color w:val="000000"/>
                <w:sz w:val="17"/>
                <w:szCs w:val="17"/>
              </w:rPr>
              <w:t>Diferencias permanentes</w:t>
            </w:r>
          </w:p>
        </w:tc>
        <w:tc>
          <w:tcPr>
            <w:tcW w:w="459"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 xml:space="preserve">- </w:t>
            </w:r>
          </w:p>
        </w:tc>
        <w:tc>
          <w:tcPr>
            <w:tcW w:w="598"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 xml:space="preserve">- </w:t>
            </w:r>
          </w:p>
        </w:tc>
        <w:tc>
          <w:tcPr>
            <w:tcW w:w="649"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c>
          <w:tcPr>
            <w:tcW w:w="566"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 xml:space="preserve">- </w:t>
            </w:r>
          </w:p>
        </w:tc>
        <w:tc>
          <w:tcPr>
            <w:tcW w:w="407"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c>
          <w:tcPr>
            <w:tcW w:w="652"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r>
      <w:tr w:rsidR="00CC451B" w:rsidRPr="00CC451B" w:rsidTr="008C2F9C">
        <w:trPr>
          <w:trHeight w:val="283"/>
        </w:trPr>
        <w:tc>
          <w:tcPr>
            <w:tcW w:w="1667"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rPr>
                <w:rFonts w:ascii="Arial" w:hAnsi="Arial" w:cs="Arial"/>
                <w:color w:val="000000"/>
                <w:sz w:val="17"/>
                <w:szCs w:val="17"/>
              </w:rPr>
            </w:pPr>
            <w:r w:rsidRPr="00CC451B">
              <w:rPr>
                <w:rFonts w:ascii="Arial" w:hAnsi="Arial" w:cs="Arial"/>
                <w:color w:val="000000"/>
                <w:sz w:val="17"/>
                <w:szCs w:val="17"/>
              </w:rPr>
              <w:t>Diferencias temporarias</w:t>
            </w:r>
          </w:p>
        </w:tc>
        <w:tc>
          <w:tcPr>
            <w:tcW w:w="459"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c>
          <w:tcPr>
            <w:tcW w:w="598"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c>
          <w:tcPr>
            <w:tcW w:w="649"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c>
          <w:tcPr>
            <w:tcW w:w="566"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c>
          <w:tcPr>
            <w:tcW w:w="407"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c>
          <w:tcPr>
            <w:tcW w:w="652"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r>
      <w:tr w:rsidR="00CC451B" w:rsidRPr="00CC451B" w:rsidTr="008C2F9C">
        <w:trPr>
          <w:trHeight w:val="283"/>
        </w:trPr>
        <w:tc>
          <w:tcPr>
            <w:tcW w:w="1667" w:type="pct"/>
            <w:tcBorders>
              <w:top w:val="nil"/>
              <w:left w:val="nil"/>
              <w:bottom w:val="nil"/>
              <w:right w:val="nil"/>
            </w:tcBorders>
            <w:noWrap/>
            <w:vAlign w:val="center"/>
            <w:hideMark/>
          </w:tcPr>
          <w:p w:rsidR="00CC451B" w:rsidRPr="00CC451B" w:rsidRDefault="00654C9B" w:rsidP="00CC451B">
            <w:pPr>
              <w:keepNext/>
              <w:keepLines/>
              <w:widowControl w:val="0"/>
              <w:spacing w:after="0" w:line="240" w:lineRule="auto"/>
              <w:rPr>
                <w:rFonts w:ascii="Arial" w:hAnsi="Arial" w:cs="Arial"/>
                <w:color w:val="000000"/>
                <w:sz w:val="17"/>
                <w:szCs w:val="17"/>
              </w:rPr>
            </w:pPr>
            <w:r w:rsidRPr="00CC451B">
              <w:rPr>
                <w:rFonts w:ascii="Arial" w:hAnsi="Arial" w:cs="Arial"/>
                <w:color w:val="000000"/>
                <w:sz w:val="17"/>
                <w:szCs w:val="17"/>
              </w:rPr>
              <w:t>Compensación</w:t>
            </w:r>
            <w:r w:rsidR="00CC451B" w:rsidRPr="00CC451B">
              <w:rPr>
                <w:rFonts w:ascii="Arial" w:hAnsi="Arial" w:cs="Arial"/>
                <w:color w:val="000000"/>
                <w:sz w:val="17"/>
                <w:szCs w:val="17"/>
              </w:rPr>
              <w:t xml:space="preserve"> </w:t>
            </w:r>
            <w:proofErr w:type="spellStart"/>
            <w:r w:rsidR="00CC451B" w:rsidRPr="00CC451B">
              <w:rPr>
                <w:rFonts w:ascii="Arial" w:hAnsi="Arial" w:cs="Arial"/>
                <w:color w:val="000000"/>
                <w:sz w:val="17"/>
                <w:szCs w:val="17"/>
              </w:rPr>
              <w:t>BINs</w:t>
            </w:r>
            <w:proofErr w:type="spellEnd"/>
          </w:p>
        </w:tc>
        <w:tc>
          <w:tcPr>
            <w:tcW w:w="459"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c>
          <w:tcPr>
            <w:tcW w:w="598"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c>
          <w:tcPr>
            <w:tcW w:w="649"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c>
          <w:tcPr>
            <w:tcW w:w="566"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c>
          <w:tcPr>
            <w:tcW w:w="407"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c>
          <w:tcPr>
            <w:tcW w:w="652" w:type="pct"/>
            <w:tcBorders>
              <w:top w:val="nil"/>
              <w:left w:val="nil"/>
              <w:bottom w:val="nil"/>
              <w:right w:val="nil"/>
            </w:tcBorders>
            <w:noWrap/>
            <w:vAlign w:val="center"/>
            <w:hideMark/>
          </w:tcPr>
          <w:p w:rsidR="00CC451B" w:rsidRPr="00CC451B" w:rsidRDefault="00CC451B" w:rsidP="00CC451B">
            <w:pPr>
              <w:keepNext/>
              <w:keepLines/>
              <w:widowControl w:val="0"/>
              <w:spacing w:after="0" w:line="240" w:lineRule="auto"/>
              <w:jc w:val="right"/>
              <w:rPr>
                <w:rFonts w:ascii="Arial" w:hAnsi="Arial" w:cs="Arial"/>
                <w:color w:val="000000"/>
                <w:sz w:val="17"/>
                <w:szCs w:val="17"/>
              </w:rPr>
            </w:pPr>
            <w:r w:rsidRPr="00CC451B">
              <w:rPr>
                <w:rFonts w:ascii="Arial" w:hAnsi="Arial" w:cs="Arial"/>
                <w:color w:val="000000"/>
                <w:sz w:val="17"/>
                <w:szCs w:val="17"/>
              </w:rPr>
              <w:t>-</w:t>
            </w:r>
          </w:p>
        </w:tc>
      </w:tr>
      <w:tr w:rsidR="00CC451B" w:rsidRPr="00CC451B" w:rsidTr="008C2F9C">
        <w:trPr>
          <w:trHeight w:val="283"/>
        </w:trPr>
        <w:tc>
          <w:tcPr>
            <w:tcW w:w="1667" w:type="pct"/>
            <w:tcBorders>
              <w:top w:val="single" w:sz="4" w:space="0" w:color="auto"/>
              <w:left w:val="nil"/>
              <w:bottom w:val="single" w:sz="4" w:space="0" w:color="auto"/>
              <w:right w:val="nil"/>
            </w:tcBorders>
            <w:shd w:val="clear" w:color="000000" w:fill="F2F2F2"/>
            <w:noWrap/>
            <w:vAlign w:val="center"/>
            <w:hideMark/>
          </w:tcPr>
          <w:p w:rsidR="00CC451B" w:rsidRPr="00CC451B" w:rsidRDefault="00CC451B" w:rsidP="00CC451B">
            <w:pPr>
              <w:keepNext/>
              <w:keepLines/>
              <w:widowControl w:val="0"/>
              <w:spacing w:after="0" w:line="240" w:lineRule="auto"/>
              <w:rPr>
                <w:rFonts w:ascii="Arial" w:hAnsi="Arial" w:cs="Arial"/>
                <w:b/>
                <w:bCs/>
                <w:color w:val="000000"/>
                <w:sz w:val="17"/>
                <w:szCs w:val="17"/>
              </w:rPr>
            </w:pPr>
            <w:r w:rsidRPr="00CC451B">
              <w:rPr>
                <w:rFonts w:ascii="Arial" w:hAnsi="Arial" w:cs="Arial"/>
                <w:b/>
                <w:bCs/>
                <w:color w:val="000000"/>
                <w:sz w:val="17"/>
                <w:szCs w:val="17"/>
              </w:rPr>
              <w:t>Base Imponible (Resultado fiscal)</w:t>
            </w:r>
          </w:p>
        </w:tc>
        <w:tc>
          <w:tcPr>
            <w:tcW w:w="459" w:type="pct"/>
            <w:tcBorders>
              <w:top w:val="single" w:sz="4" w:space="0" w:color="auto"/>
              <w:left w:val="nil"/>
              <w:bottom w:val="single" w:sz="4" w:space="0" w:color="auto"/>
              <w:right w:val="nil"/>
            </w:tcBorders>
            <w:shd w:val="clear" w:color="000000" w:fill="F2F2F2"/>
            <w:noWrap/>
            <w:vAlign w:val="center"/>
            <w:hideMark/>
          </w:tcPr>
          <w:p w:rsidR="00CC451B" w:rsidRPr="00CC451B" w:rsidRDefault="00CC451B" w:rsidP="00CC451B">
            <w:pPr>
              <w:keepNext/>
              <w:keepLines/>
              <w:widowControl w:val="0"/>
              <w:spacing w:after="0" w:line="240" w:lineRule="auto"/>
              <w:jc w:val="right"/>
              <w:rPr>
                <w:rFonts w:ascii="Arial" w:hAnsi="Arial" w:cs="Arial"/>
                <w:b/>
                <w:bCs/>
                <w:color w:val="000000"/>
                <w:sz w:val="17"/>
                <w:szCs w:val="17"/>
              </w:rPr>
            </w:pPr>
            <w:r w:rsidRPr="00CC451B">
              <w:rPr>
                <w:rFonts w:ascii="Arial" w:hAnsi="Arial" w:cs="Arial"/>
                <w:b/>
                <w:bCs/>
                <w:color w:val="000000"/>
                <w:sz w:val="17"/>
                <w:szCs w:val="17"/>
              </w:rPr>
              <w:t> </w:t>
            </w:r>
          </w:p>
        </w:tc>
        <w:tc>
          <w:tcPr>
            <w:tcW w:w="598" w:type="pct"/>
            <w:tcBorders>
              <w:top w:val="single" w:sz="4" w:space="0" w:color="auto"/>
              <w:left w:val="nil"/>
              <w:bottom w:val="single" w:sz="4" w:space="0" w:color="auto"/>
              <w:right w:val="nil"/>
            </w:tcBorders>
            <w:shd w:val="clear" w:color="000000" w:fill="F2F2F2"/>
            <w:noWrap/>
            <w:vAlign w:val="center"/>
            <w:hideMark/>
          </w:tcPr>
          <w:p w:rsidR="00CC451B" w:rsidRPr="00CC451B" w:rsidRDefault="00CC451B" w:rsidP="00CC451B">
            <w:pPr>
              <w:keepNext/>
              <w:keepLines/>
              <w:widowControl w:val="0"/>
              <w:spacing w:after="0" w:line="240" w:lineRule="auto"/>
              <w:jc w:val="right"/>
              <w:rPr>
                <w:rFonts w:ascii="Arial" w:hAnsi="Arial" w:cs="Arial"/>
                <w:b/>
                <w:bCs/>
                <w:color w:val="000000"/>
                <w:sz w:val="17"/>
                <w:szCs w:val="17"/>
              </w:rPr>
            </w:pPr>
            <w:r w:rsidRPr="00CC451B">
              <w:rPr>
                <w:rFonts w:ascii="Arial" w:hAnsi="Arial" w:cs="Arial"/>
                <w:b/>
                <w:bCs/>
                <w:color w:val="000000"/>
                <w:sz w:val="17"/>
                <w:szCs w:val="17"/>
              </w:rPr>
              <w:t> </w:t>
            </w:r>
          </w:p>
        </w:tc>
        <w:tc>
          <w:tcPr>
            <w:tcW w:w="649" w:type="pct"/>
            <w:tcBorders>
              <w:top w:val="single" w:sz="4" w:space="0" w:color="auto"/>
              <w:left w:val="nil"/>
              <w:bottom w:val="single" w:sz="4" w:space="0" w:color="auto"/>
              <w:right w:val="nil"/>
            </w:tcBorders>
            <w:shd w:val="clear" w:color="000000" w:fill="F2F2F2"/>
            <w:noWrap/>
            <w:vAlign w:val="center"/>
            <w:hideMark/>
          </w:tcPr>
          <w:p w:rsidR="00CC451B" w:rsidRPr="00CC451B" w:rsidRDefault="00CC451B" w:rsidP="00CC451B">
            <w:pPr>
              <w:keepNext/>
              <w:keepLines/>
              <w:widowControl w:val="0"/>
              <w:spacing w:after="0" w:line="240" w:lineRule="auto"/>
              <w:jc w:val="right"/>
              <w:rPr>
                <w:rFonts w:ascii="Arial" w:hAnsi="Arial" w:cs="Arial"/>
                <w:b/>
                <w:bCs/>
                <w:color w:val="000000"/>
                <w:sz w:val="17"/>
                <w:szCs w:val="17"/>
              </w:rPr>
            </w:pPr>
            <w:r w:rsidRPr="00CC451B">
              <w:rPr>
                <w:rFonts w:ascii="Arial" w:hAnsi="Arial" w:cs="Arial"/>
                <w:b/>
                <w:bCs/>
                <w:color w:val="000000"/>
                <w:sz w:val="17"/>
                <w:szCs w:val="17"/>
              </w:rPr>
              <w:t xml:space="preserve">-54.790,84 </w:t>
            </w:r>
          </w:p>
        </w:tc>
        <w:tc>
          <w:tcPr>
            <w:tcW w:w="566" w:type="pct"/>
            <w:tcBorders>
              <w:top w:val="single" w:sz="4" w:space="0" w:color="auto"/>
              <w:left w:val="nil"/>
              <w:bottom w:val="single" w:sz="4" w:space="0" w:color="auto"/>
              <w:right w:val="nil"/>
            </w:tcBorders>
            <w:shd w:val="clear" w:color="000000" w:fill="F2F2F2"/>
            <w:noWrap/>
            <w:vAlign w:val="center"/>
            <w:hideMark/>
          </w:tcPr>
          <w:p w:rsidR="00CC451B" w:rsidRPr="00CC451B" w:rsidRDefault="00CC451B" w:rsidP="00CC451B">
            <w:pPr>
              <w:keepNext/>
              <w:keepLines/>
              <w:widowControl w:val="0"/>
              <w:spacing w:after="0" w:line="240" w:lineRule="auto"/>
              <w:jc w:val="right"/>
              <w:rPr>
                <w:rFonts w:ascii="Arial" w:hAnsi="Arial" w:cs="Arial"/>
                <w:b/>
                <w:bCs/>
                <w:color w:val="000000"/>
                <w:sz w:val="17"/>
                <w:szCs w:val="17"/>
              </w:rPr>
            </w:pPr>
            <w:r w:rsidRPr="00CC451B">
              <w:rPr>
                <w:rFonts w:ascii="Arial" w:hAnsi="Arial" w:cs="Arial"/>
                <w:b/>
                <w:bCs/>
                <w:color w:val="000000"/>
                <w:sz w:val="17"/>
                <w:szCs w:val="17"/>
              </w:rPr>
              <w:t> </w:t>
            </w:r>
          </w:p>
        </w:tc>
        <w:tc>
          <w:tcPr>
            <w:tcW w:w="407" w:type="pct"/>
            <w:tcBorders>
              <w:top w:val="single" w:sz="4" w:space="0" w:color="auto"/>
              <w:left w:val="nil"/>
              <w:bottom w:val="single" w:sz="4" w:space="0" w:color="auto"/>
              <w:right w:val="nil"/>
            </w:tcBorders>
            <w:shd w:val="clear" w:color="000000" w:fill="F2F2F2"/>
            <w:noWrap/>
            <w:vAlign w:val="center"/>
            <w:hideMark/>
          </w:tcPr>
          <w:p w:rsidR="00CC451B" w:rsidRPr="00CC451B" w:rsidRDefault="00CC451B" w:rsidP="00CC451B">
            <w:pPr>
              <w:keepNext/>
              <w:keepLines/>
              <w:widowControl w:val="0"/>
              <w:spacing w:after="0" w:line="240" w:lineRule="auto"/>
              <w:jc w:val="right"/>
              <w:rPr>
                <w:rFonts w:ascii="Arial" w:hAnsi="Arial" w:cs="Arial"/>
                <w:b/>
                <w:bCs/>
                <w:color w:val="000000"/>
                <w:sz w:val="17"/>
                <w:szCs w:val="17"/>
              </w:rPr>
            </w:pPr>
            <w:r w:rsidRPr="00CC451B">
              <w:rPr>
                <w:rFonts w:ascii="Arial" w:hAnsi="Arial" w:cs="Arial"/>
                <w:b/>
                <w:bCs/>
                <w:color w:val="000000"/>
                <w:sz w:val="17"/>
                <w:szCs w:val="17"/>
              </w:rPr>
              <w:t> </w:t>
            </w:r>
          </w:p>
        </w:tc>
        <w:tc>
          <w:tcPr>
            <w:tcW w:w="652" w:type="pct"/>
            <w:tcBorders>
              <w:top w:val="single" w:sz="4" w:space="0" w:color="auto"/>
              <w:left w:val="nil"/>
              <w:bottom w:val="single" w:sz="4" w:space="0" w:color="auto"/>
              <w:right w:val="nil"/>
            </w:tcBorders>
            <w:shd w:val="clear" w:color="000000" w:fill="F2F2F2"/>
            <w:noWrap/>
            <w:vAlign w:val="center"/>
            <w:hideMark/>
          </w:tcPr>
          <w:p w:rsidR="00CC451B" w:rsidRPr="00CC451B" w:rsidRDefault="00CC451B" w:rsidP="00CC451B">
            <w:pPr>
              <w:keepNext/>
              <w:keepLines/>
              <w:widowControl w:val="0"/>
              <w:spacing w:after="0" w:line="240" w:lineRule="auto"/>
              <w:jc w:val="right"/>
              <w:rPr>
                <w:rFonts w:ascii="Arial" w:hAnsi="Arial" w:cs="Arial"/>
                <w:b/>
                <w:bCs/>
                <w:color w:val="000000"/>
                <w:sz w:val="17"/>
                <w:szCs w:val="17"/>
              </w:rPr>
            </w:pPr>
            <w:r w:rsidRPr="00CC451B">
              <w:rPr>
                <w:rFonts w:ascii="Arial" w:hAnsi="Arial" w:cs="Arial"/>
                <w:b/>
                <w:bCs/>
                <w:color w:val="000000"/>
                <w:sz w:val="17"/>
                <w:szCs w:val="17"/>
              </w:rPr>
              <w:t>246.963,50</w:t>
            </w:r>
          </w:p>
        </w:tc>
      </w:tr>
    </w:tbl>
    <w:p w:rsidR="005F2AFD" w:rsidRPr="00C67C91" w:rsidRDefault="005F2AFD" w:rsidP="008C2F9C">
      <w:pPr>
        <w:keepNext/>
        <w:keepLines/>
        <w:widowControl w:val="0"/>
        <w:spacing w:before="120" w:after="120" w:line="260" w:lineRule="exact"/>
        <w:jc w:val="both"/>
        <w:rPr>
          <w:rFonts w:ascii="Arial" w:hAnsi="Arial" w:cs="Arial"/>
          <w:sz w:val="20"/>
          <w:szCs w:val="20"/>
        </w:rPr>
      </w:pPr>
      <w:r w:rsidRPr="00C67C91">
        <w:rPr>
          <w:rFonts w:ascii="Arial" w:hAnsi="Arial" w:cs="Arial"/>
          <w:sz w:val="20"/>
          <w:szCs w:val="20"/>
        </w:rPr>
        <w:t xml:space="preserve">Los cálculos efectuados en relación con el Impuesto sobre </w:t>
      </w:r>
      <w:r w:rsidR="009B1AC6" w:rsidRPr="00C67C91">
        <w:rPr>
          <w:rFonts w:ascii="Arial" w:hAnsi="Arial" w:cs="Arial"/>
          <w:sz w:val="20"/>
          <w:szCs w:val="20"/>
        </w:rPr>
        <w:t>Beneficios</w:t>
      </w:r>
      <w:r w:rsidRPr="00C67C91">
        <w:rPr>
          <w:rFonts w:ascii="Arial" w:hAnsi="Arial" w:cs="Arial"/>
          <w:sz w:val="20"/>
          <w:szCs w:val="20"/>
        </w:rPr>
        <w:t xml:space="preserve"> son los siguientes, en euros:</w:t>
      </w:r>
    </w:p>
    <w:tbl>
      <w:tblPr>
        <w:tblW w:w="5000" w:type="pct"/>
        <w:jc w:val="center"/>
        <w:tblCellMar>
          <w:left w:w="70" w:type="dxa"/>
          <w:right w:w="70" w:type="dxa"/>
        </w:tblCellMar>
        <w:tblLook w:val="04A0"/>
      </w:tblPr>
      <w:tblGrid>
        <w:gridCol w:w="4809"/>
        <w:gridCol w:w="1919"/>
        <w:gridCol w:w="1917"/>
      </w:tblGrid>
      <w:tr w:rsidR="009B1AC6" w:rsidRPr="00AF4C3B" w:rsidTr="0020061C">
        <w:trPr>
          <w:trHeight w:val="286"/>
          <w:jc w:val="center"/>
        </w:trPr>
        <w:tc>
          <w:tcPr>
            <w:tcW w:w="2781" w:type="pct"/>
            <w:tcBorders>
              <w:top w:val="nil"/>
              <w:left w:val="nil"/>
              <w:bottom w:val="single" w:sz="4" w:space="0" w:color="auto"/>
              <w:right w:val="nil"/>
            </w:tcBorders>
            <w:shd w:val="clear" w:color="000000" w:fill="D9D9D9"/>
            <w:vAlign w:val="center"/>
            <w:hideMark/>
          </w:tcPr>
          <w:p w:rsidR="009B1AC6" w:rsidRPr="00AF4C3B" w:rsidRDefault="009B1AC6" w:rsidP="007B6702">
            <w:pPr>
              <w:spacing w:after="0" w:line="240" w:lineRule="auto"/>
              <w:jc w:val="center"/>
              <w:rPr>
                <w:rFonts w:ascii="Arial" w:hAnsi="Arial" w:cs="Arial"/>
                <w:color w:val="000000"/>
                <w:sz w:val="18"/>
                <w:szCs w:val="18"/>
              </w:rPr>
            </w:pPr>
          </w:p>
        </w:tc>
        <w:tc>
          <w:tcPr>
            <w:tcW w:w="1110" w:type="pct"/>
            <w:tcBorders>
              <w:top w:val="nil"/>
              <w:left w:val="nil"/>
              <w:bottom w:val="single" w:sz="4" w:space="0" w:color="auto"/>
              <w:right w:val="nil"/>
            </w:tcBorders>
            <w:shd w:val="clear" w:color="000000" w:fill="D9D9D9"/>
            <w:vAlign w:val="bottom"/>
            <w:hideMark/>
          </w:tcPr>
          <w:p w:rsidR="009B1AC6" w:rsidRPr="00AF4C3B" w:rsidRDefault="009B1AC6" w:rsidP="007B6702">
            <w:pPr>
              <w:spacing w:after="0" w:line="240" w:lineRule="auto"/>
              <w:jc w:val="center"/>
              <w:rPr>
                <w:rFonts w:ascii="Arial" w:hAnsi="Arial" w:cs="Arial"/>
                <w:b/>
                <w:bCs/>
                <w:color w:val="000000"/>
                <w:sz w:val="18"/>
                <w:szCs w:val="18"/>
              </w:rPr>
            </w:pPr>
            <w:r w:rsidRPr="00AF4C3B">
              <w:rPr>
                <w:rFonts w:ascii="Arial" w:hAnsi="Arial" w:cs="Arial"/>
                <w:b/>
                <w:bCs/>
                <w:color w:val="000000"/>
                <w:sz w:val="18"/>
                <w:szCs w:val="18"/>
              </w:rPr>
              <w:t>2020</w:t>
            </w:r>
          </w:p>
        </w:tc>
        <w:tc>
          <w:tcPr>
            <w:tcW w:w="1110" w:type="pct"/>
            <w:tcBorders>
              <w:top w:val="nil"/>
              <w:left w:val="nil"/>
              <w:bottom w:val="single" w:sz="4" w:space="0" w:color="auto"/>
              <w:right w:val="nil"/>
            </w:tcBorders>
            <w:shd w:val="clear" w:color="000000" w:fill="D9D9D9"/>
            <w:vAlign w:val="bottom"/>
            <w:hideMark/>
          </w:tcPr>
          <w:p w:rsidR="009B1AC6" w:rsidRPr="00AF4C3B" w:rsidRDefault="009B1AC6" w:rsidP="007B6702">
            <w:pPr>
              <w:spacing w:after="0" w:line="240" w:lineRule="auto"/>
              <w:jc w:val="center"/>
              <w:rPr>
                <w:rFonts w:ascii="Arial" w:hAnsi="Arial" w:cs="Arial"/>
                <w:b/>
                <w:bCs/>
                <w:color w:val="000000"/>
                <w:sz w:val="18"/>
                <w:szCs w:val="18"/>
              </w:rPr>
            </w:pPr>
            <w:r w:rsidRPr="00AF4C3B">
              <w:rPr>
                <w:rFonts w:ascii="Arial" w:hAnsi="Arial" w:cs="Arial"/>
                <w:b/>
                <w:bCs/>
                <w:color w:val="000000"/>
                <w:sz w:val="18"/>
                <w:szCs w:val="18"/>
              </w:rPr>
              <w:t>2019</w:t>
            </w:r>
          </w:p>
        </w:tc>
      </w:tr>
      <w:tr w:rsidR="00AF4C3B" w:rsidRPr="00AF4C3B" w:rsidTr="0020061C">
        <w:trPr>
          <w:trHeight w:val="283"/>
          <w:jc w:val="center"/>
        </w:trPr>
        <w:tc>
          <w:tcPr>
            <w:tcW w:w="2781" w:type="pct"/>
            <w:tcBorders>
              <w:top w:val="single" w:sz="4" w:space="0" w:color="auto"/>
              <w:left w:val="nil"/>
              <w:bottom w:val="nil"/>
              <w:right w:val="nil"/>
            </w:tcBorders>
            <w:vAlign w:val="center"/>
          </w:tcPr>
          <w:p w:rsidR="007B6702" w:rsidRPr="00AF4C3B" w:rsidRDefault="007B6702" w:rsidP="007B6702">
            <w:pPr>
              <w:spacing w:after="0" w:line="240" w:lineRule="auto"/>
              <w:jc w:val="both"/>
              <w:rPr>
                <w:rFonts w:ascii="Arial" w:hAnsi="Arial" w:cs="Arial"/>
                <w:b/>
                <w:bCs/>
                <w:color w:val="000000"/>
                <w:sz w:val="18"/>
                <w:szCs w:val="18"/>
              </w:rPr>
            </w:pPr>
            <w:r w:rsidRPr="00AF4C3B">
              <w:rPr>
                <w:rFonts w:ascii="Arial" w:hAnsi="Arial" w:cs="Arial"/>
                <w:b/>
                <w:bCs/>
                <w:color w:val="000000"/>
                <w:sz w:val="18"/>
                <w:szCs w:val="18"/>
              </w:rPr>
              <w:t>Base imponible</w:t>
            </w:r>
          </w:p>
        </w:tc>
        <w:tc>
          <w:tcPr>
            <w:tcW w:w="1110" w:type="pct"/>
            <w:tcBorders>
              <w:top w:val="single" w:sz="4" w:space="0" w:color="auto"/>
              <w:left w:val="nil"/>
              <w:bottom w:val="nil"/>
              <w:right w:val="nil"/>
            </w:tcBorders>
            <w:noWrap/>
            <w:vAlign w:val="center"/>
          </w:tcPr>
          <w:p w:rsidR="007B6702" w:rsidRPr="00AF4C3B" w:rsidRDefault="007B6702" w:rsidP="007B6702">
            <w:pPr>
              <w:spacing w:after="0" w:line="240" w:lineRule="auto"/>
              <w:jc w:val="right"/>
              <w:rPr>
                <w:rFonts w:ascii="Arial" w:hAnsi="Arial" w:cs="Arial"/>
                <w:b/>
                <w:bCs/>
                <w:color w:val="000000"/>
                <w:sz w:val="18"/>
                <w:szCs w:val="18"/>
              </w:rPr>
            </w:pPr>
            <w:r w:rsidRPr="00AF4C3B">
              <w:rPr>
                <w:rFonts w:ascii="Arial" w:hAnsi="Arial" w:cs="Arial"/>
                <w:b/>
                <w:bCs/>
                <w:color w:val="000000"/>
                <w:sz w:val="18"/>
                <w:szCs w:val="18"/>
              </w:rPr>
              <w:t>-54.790,84</w:t>
            </w:r>
          </w:p>
        </w:tc>
        <w:tc>
          <w:tcPr>
            <w:tcW w:w="1110" w:type="pct"/>
            <w:tcBorders>
              <w:top w:val="single" w:sz="4" w:space="0" w:color="auto"/>
              <w:left w:val="nil"/>
              <w:bottom w:val="nil"/>
              <w:right w:val="nil"/>
            </w:tcBorders>
            <w:noWrap/>
            <w:vAlign w:val="center"/>
          </w:tcPr>
          <w:p w:rsidR="007B6702" w:rsidRPr="00AF4C3B" w:rsidRDefault="007B6702" w:rsidP="007B6702">
            <w:pPr>
              <w:spacing w:after="0" w:line="240" w:lineRule="auto"/>
              <w:jc w:val="right"/>
              <w:rPr>
                <w:rFonts w:ascii="Arial" w:hAnsi="Arial" w:cs="Arial"/>
                <w:b/>
                <w:bCs/>
                <w:color w:val="000000"/>
                <w:sz w:val="18"/>
                <w:szCs w:val="18"/>
              </w:rPr>
            </w:pPr>
            <w:r w:rsidRPr="00AF4C3B">
              <w:rPr>
                <w:rFonts w:ascii="Arial" w:hAnsi="Arial" w:cs="Arial"/>
                <w:b/>
                <w:bCs/>
                <w:color w:val="000000"/>
                <w:sz w:val="18"/>
                <w:szCs w:val="18"/>
              </w:rPr>
              <w:t>246.963,50</w:t>
            </w:r>
          </w:p>
        </w:tc>
      </w:tr>
      <w:tr w:rsidR="007B6702" w:rsidRPr="00AF4C3B" w:rsidTr="0020061C">
        <w:trPr>
          <w:trHeight w:val="283"/>
          <w:jc w:val="center"/>
        </w:trPr>
        <w:tc>
          <w:tcPr>
            <w:tcW w:w="2781" w:type="pct"/>
            <w:tcBorders>
              <w:top w:val="nil"/>
              <w:left w:val="nil"/>
              <w:bottom w:val="nil"/>
              <w:right w:val="nil"/>
            </w:tcBorders>
            <w:vAlign w:val="center"/>
            <w:hideMark/>
          </w:tcPr>
          <w:p w:rsidR="007B6702" w:rsidRPr="00AF4C3B" w:rsidRDefault="007B6702" w:rsidP="007B6702">
            <w:pPr>
              <w:spacing w:after="0" w:line="240" w:lineRule="auto"/>
              <w:jc w:val="both"/>
              <w:rPr>
                <w:rFonts w:ascii="Arial" w:hAnsi="Arial" w:cs="Arial"/>
                <w:b/>
                <w:bCs/>
                <w:color w:val="000000"/>
                <w:sz w:val="18"/>
                <w:szCs w:val="18"/>
              </w:rPr>
            </w:pPr>
            <w:r w:rsidRPr="00AF4C3B">
              <w:rPr>
                <w:rFonts w:ascii="Arial" w:hAnsi="Arial" w:cs="Arial"/>
                <w:color w:val="000000"/>
                <w:sz w:val="18"/>
                <w:szCs w:val="18"/>
              </w:rPr>
              <w:t>Tipo de gravamen</w:t>
            </w:r>
          </w:p>
        </w:tc>
        <w:tc>
          <w:tcPr>
            <w:tcW w:w="1110" w:type="pct"/>
            <w:tcBorders>
              <w:top w:val="nil"/>
              <w:left w:val="nil"/>
              <w:bottom w:val="nil"/>
              <w:right w:val="nil"/>
            </w:tcBorders>
            <w:noWrap/>
            <w:vAlign w:val="center"/>
            <w:hideMark/>
          </w:tcPr>
          <w:p w:rsidR="007B6702" w:rsidRPr="00AF4C3B" w:rsidRDefault="007B6702" w:rsidP="007B6702">
            <w:pPr>
              <w:spacing w:after="0" w:line="240" w:lineRule="auto"/>
              <w:jc w:val="right"/>
              <w:rPr>
                <w:rFonts w:ascii="Arial" w:hAnsi="Arial" w:cs="Arial"/>
                <w:color w:val="000000"/>
                <w:sz w:val="18"/>
                <w:szCs w:val="18"/>
              </w:rPr>
            </w:pPr>
            <w:r w:rsidRPr="00AF4C3B">
              <w:rPr>
                <w:rFonts w:ascii="Arial" w:hAnsi="Arial" w:cs="Arial"/>
                <w:color w:val="000000"/>
                <w:sz w:val="18"/>
                <w:szCs w:val="18"/>
              </w:rPr>
              <w:t>25%</w:t>
            </w:r>
          </w:p>
        </w:tc>
        <w:tc>
          <w:tcPr>
            <w:tcW w:w="1110" w:type="pct"/>
            <w:tcBorders>
              <w:top w:val="nil"/>
              <w:left w:val="nil"/>
              <w:bottom w:val="nil"/>
              <w:right w:val="nil"/>
            </w:tcBorders>
            <w:noWrap/>
            <w:vAlign w:val="center"/>
            <w:hideMark/>
          </w:tcPr>
          <w:p w:rsidR="007B6702" w:rsidRPr="00AF4C3B" w:rsidRDefault="007B6702" w:rsidP="007B6702">
            <w:pPr>
              <w:spacing w:after="0" w:line="240" w:lineRule="auto"/>
              <w:jc w:val="right"/>
              <w:rPr>
                <w:rFonts w:ascii="Arial" w:hAnsi="Arial" w:cs="Arial"/>
                <w:b/>
                <w:bCs/>
                <w:color w:val="000000"/>
                <w:sz w:val="18"/>
                <w:szCs w:val="18"/>
              </w:rPr>
            </w:pPr>
            <w:r w:rsidRPr="00AF4C3B">
              <w:rPr>
                <w:rFonts w:ascii="Arial" w:hAnsi="Arial" w:cs="Arial"/>
                <w:color w:val="000000"/>
                <w:sz w:val="18"/>
                <w:szCs w:val="18"/>
              </w:rPr>
              <w:t>25%</w:t>
            </w:r>
          </w:p>
        </w:tc>
      </w:tr>
      <w:tr w:rsidR="00AF4C3B" w:rsidRPr="00AF4C3B" w:rsidTr="0020061C">
        <w:trPr>
          <w:trHeight w:val="283"/>
          <w:jc w:val="center"/>
        </w:trPr>
        <w:tc>
          <w:tcPr>
            <w:tcW w:w="2781" w:type="pct"/>
            <w:tcBorders>
              <w:top w:val="nil"/>
              <w:left w:val="nil"/>
              <w:bottom w:val="nil"/>
              <w:right w:val="nil"/>
            </w:tcBorders>
            <w:vAlign w:val="center"/>
            <w:hideMark/>
          </w:tcPr>
          <w:p w:rsidR="007B6702" w:rsidRPr="00AF4C3B" w:rsidRDefault="007B6702" w:rsidP="007B6702">
            <w:pPr>
              <w:spacing w:after="0" w:line="240" w:lineRule="auto"/>
              <w:jc w:val="both"/>
              <w:rPr>
                <w:rFonts w:ascii="Arial" w:hAnsi="Arial" w:cs="Arial"/>
                <w:b/>
                <w:color w:val="000000"/>
                <w:sz w:val="18"/>
                <w:szCs w:val="18"/>
              </w:rPr>
            </w:pPr>
            <w:r w:rsidRPr="00AF4C3B">
              <w:rPr>
                <w:rFonts w:ascii="Arial" w:hAnsi="Arial" w:cs="Arial"/>
                <w:b/>
                <w:color w:val="000000"/>
                <w:sz w:val="18"/>
                <w:szCs w:val="18"/>
              </w:rPr>
              <w:t>Cuota íntegra</w:t>
            </w:r>
          </w:p>
        </w:tc>
        <w:tc>
          <w:tcPr>
            <w:tcW w:w="1110" w:type="pct"/>
            <w:tcBorders>
              <w:top w:val="nil"/>
              <w:left w:val="nil"/>
              <w:bottom w:val="nil"/>
              <w:right w:val="nil"/>
            </w:tcBorders>
            <w:vAlign w:val="center"/>
            <w:hideMark/>
          </w:tcPr>
          <w:p w:rsidR="007B6702" w:rsidRPr="00AF4C3B" w:rsidRDefault="007B6702" w:rsidP="007B6702">
            <w:pPr>
              <w:spacing w:after="0" w:line="240" w:lineRule="auto"/>
              <w:jc w:val="right"/>
              <w:rPr>
                <w:rFonts w:ascii="Arial" w:hAnsi="Arial" w:cs="Arial"/>
                <w:b/>
                <w:color w:val="000000"/>
                <w:sz w:val="18"/>
                <w:szCs w:val="18"/>
              </w:rPr>
            </w:pPr>
            <w:r w:rsidRPr="00AF4C3B">
              <w:rPr>
                <w:rFonts w:ascii="Arial" w:hAnsi="Arial" w:cs="Arial"/>
                <w:b/>
                <w:color w:val="000000"/>
                <w:sz w:val="18"/>
                <w:szCs w:val="18"/>
              </w:rPr>
              <w:t xml:space="preserve">-13.697,71 </w:t>
            </w:r>
          </w:p>
        </w:tc>
        <w:tc>
          <w:tcPr>
            <w:tcW w:w="1110" w:type="pct"/>
            <w:tcBorders>
              <w:top w:val="nil"/>
              <w:left w:val="nil"/>
              <w:bottom w:val="nil"/>
              <w:right w:val="nil"/>
            </w:tcBorders>
            <w:vAlign w:val="center"/>
            <w:hideMark/>
          </w:tcPr>
          <w:p w:rsidR="007B6702" w:rsidRPr="00AF4C3B" w:rsidRDefault="007B6702" w:rsidP="007B6702">
            <w:pPr>
              <w:spacing w:after="0" w:line="240" w:lineRule="auto"/>
              <w:jc w:val="right"/>
              <w:rPr>
                <w:rFonts w:ascii="Arial" w:hAnsi="Arial" w:cs="Arial"/>
                <w:b/>
                <w:color w:val="000000"/>
                <w:sz w:val="18"/>
                <w:szCs w:val="18"/>
              </w:rPr>
            </w:pPr>
            <w:r w:rsidRPr="00AF4C3B">
              <w:rPr>
                <w:rFonts w:ascii="Arial" w:hAnsi="Arial" w:cs="Arial"/>
                <w:b/>
                <w:color w:val="000000"/>
                <w:sz w:val="18"/>
                <w:szCs w:val="18"/>
              </w:rPr>
              <w:t>61.740,88</w:t>
            </w:r>
          </w:p>
        </w:tc>
      </w:tr>
      <w:tr w:rsidR="007B6702" w:rsidRPr="00AF4C3B" w:rsidTr="0020061C">
        <w:trPr>
          <w:trHeight w:val="283"/>
          <w:jc w:val="center"/>
        </w:trPr>
        <w:tc>
          <w:tcPr>
            <w:tcW w:w="2781" w:type="pct"/>
            <w:tcBorders>
              <w:top w:val="nil"/>
              <w:left w:val="nil"/>
              <w:bottom w:val="nil"/>
              <w:right w:val="nil"/>
            </w:tcBorders>
            <w:vAlign w:val="center"/>
            <w:hideMark/>
          </w:tcPr>
          <w:p w:rsidR="007B6702" w:rsidRPr="00AF4C3B" w:rsidRDefault="007B6702" w:rsidP="007B6702">
            <w:pPr>
              <w:spacing w:after="0" w:line="240" w:lineRule="auto"/>
              <w:jc w:val="both"/>
              <w:rPr>
                <w:rFonts w:ascii="Arial" w:hAnsi="Arial" w:cs="Arial"/>
                <w:color w:val="000000"/>
                <w:sz w:val="18"/>
                <w:szCs w:val="18"/>
              </w:rPr>
            </w:pPr>
            <w:r w:rsidRPr="00AF4C3B">
              <w:rPr>
                <w:rFonts w:ascii="Arial" w:hAnsi="Arial" w:cs="Arial"/>
                <w:color w:val="000000"/>
                <w:sz w:val="18"/>
                <w:szCs w:val="18"/>
              </w:rPr>
              <w:t xml:space="preserve">Deducciones AFN </w:t>
            </w:r>
          </w:p>
        </w:tc>
        <w:tc>
          <w:tcPr>
            <w:tcW w:w="1110" w:type="pct"/>
            <w:tcBorders>
              <w:top w:val="nil"/>
              <w:left w:val="nil"/>
              <w:bottom w:val="nil"/>
              <w:right w:val="nil"/>
            </w:tcBorders>
            <w:noWrap/>
            <w:vAlign w:val="center"/>
            <w:hideMark/>
          </w:tcPr>
          <w:p w:rsidR="007B6702" w:rsidRPr="00AF4C3B" w:rsidRDefault="007B6702" w:rsidP="007B6702">
            <w:pPr>
              <w:spacing w:after="0" w:line="240" w:lineRule="auto"/>
              <w:jc w:val="right"/>
              <w:rPr>
                <w:rFonts w:ascii="Arial" w:hAnsi="Arial" w:cs="Arial"/>
                <w:color w:val="000000"/>
                <w:sz w:val="18"/>
                <w:szCs w:val="18"/>
              </w:rPr>
            </w:pPr>
            <w:r w:rsidRPr="00AF4C3B">
              <w:rPr>
                <w:rFonts w:ascii="Arial" w:hAnsi="Arial" w:cs="Arial"/>
                <w:color w:val="000000"/>
                <w:sz w:val="18"/>
                <w:szCs w:val="18"/>
              </w:rPr>
              <w:t xml:space="preserve">-   </w:t>
            </w:r>
          </w:p>
        </w:tc>
        <w:tc>
          <w:tcPr>
            <w:tcW w:w="1110" w:type="pct"/>
            <w:tcBorders>
              <w:top w:val="nil"/>
              <w:left w:val="nil"/>
              <w:bottom w:val="nil"/>
              <w:right w:val="nil"/>
            </w:tcBorders>
            <w:noWrap/>
            <w:vAlign w:val="center"/>
            <w:hideMark/>
          </w:tcPr>
          <w:p w:rsidR="007B6702" w:rsidRPr="00AF4C3B" w:rsidRDefault="00AF4C3B" w:rsidP="00AF4C3B">
            <w:pPr>
              <w:spacing w:after="0" w:line="240" w:lineRule="auto"/>
              <w:jc w:val="right"/>
              <w:rPr>
                <w:rFonts w:ascii="Arial" w:hAnsi="Arial" w:cs="Arial"/>
                <w:color w:val="000000"/>
                <w:sz w:val="18"/>
                <w:szCs w:val="18"/>
              </w:rPr>
            </w:pPr>
            <w:r>
              <w:rPr>
                <w:rFonts w:ascii="Arial" w:hAnsi="Arial" w:cs="Arial"/>
                <w:color w:val="000000"/>
                <w:sz w:val="18"/>
                <w:szCs w:val="18"/>
              </w:rPr>
              <w:t>-</w:t>
            </w:r>
            <w:r w:rsidR="007B6702" w:rsidRPr="00AF4C3B">
              <w:rPr>
                <w:rFonts w:ascii="Arial" w:hAnsi="Arial" w:cs="Arial"/>
                <w:color w:val="000000"/>
                <w:sz w:val="18"/>
                <w:szCs w:val="18"/>
              </w:rPr>
              <w:t>30.870,44</w:t>
            </w:r>
          </w:p>
        </w:tc>
      </w:tr>
      <w:tr w:rsidR="00AF4C3B" w:rsidRPr="00AF4C3B" w:rsidTr="0020061C">
        <w:trPr>
          <w:trHeight w:val="283"/>
          <w:jc w:val="center"/>
        </w:trPr>
        <w:tc>
          <w:tcPr>
            <w:tcW w:w="2781" w:type="pct"/>
            <w:tcBorders>
              <w:top w:val="nil"/>
              <w:left w:val="nil"/>
              <w:bottom w:val="nil"/>
              <w:right w:val="nil"/>
            </w:tcBorders>
            <w:vAlign w:val="center"/>
            <w:hideMark/>
          </w:tcPr>
          <w:p w:rsidR="007B6702" w:rsidRPr="007D67E2" w:rsidRDefault="007B6702" w:rsidP="007B6702">
            <w:pPr>
              <w:spacing w:after="0" w:line="240" w:lineRule="auto"/>
              <w:jc w:val="both"/>
              <w:rPr>
                <w:rFonts w:ascii="Arial" w:hAnsi="Arial" w:cs="Arial"/>
                <w:b/>
                <w:color w:val="000000"/>
                <w:sz w:val="18"/>
                <w:szCs w:val="18"/>
              </w:rPr>
            </w:pPr>
            <w:r w:rsidRPr="007D67E2">
              <w:rPr>
                <w:rFonts w:ascii="Arial" w:hAnsi="Arial" w:cs="Arial"/>
                <w:b/>
                <w:color w:val="000000"/>
                <w:sz w:val="18"/>
                <w:szCs w:val="18"/>
              </w:rPr>
              <w:t>Cuota líquida</w:t>
            </w:r>
          </w:p>
        </w:tc>
        <w:tc>
          <w:tcPr>
            <w:tcW w:w="1110" w:type="pct"/>
            <w:tcBorders>
              <w:top w:val="nil"/>
              <w:left w:val="nil"/>
              <w:bottom w:val="nil"/>
              <w:right w:val="nil"/>
            </w:tcBorders>
            <w:noWrap/>
            <w:vAlign w:val="center"/>
            <w:hideMark/>
          </w:tcPr>
          <w:p w:rsidR="007B6702" w:rsidRPr="007D67E2" w:rsidRDefault="007B6702" w:rsidP="007B6702">
            <w:pPr>
              <w:spacing w:after="0" w:line="240" w:lineRule="auto"/>
              <w:jc w:val="right"/>
              <w:rPr>
                <w:rFonts w:ascii="Arial" w:hAnsi="Arial" w:cs="Arial"/>
                <w:b/>
                <w:color w:val="000000"/>
                <w:sz w:val="18"/>
                <w:szCs w:val="18"/>
              </w:rPr>
            </w:pPr>
            <w:r w:rsidRPr="007D67E2">
              <w:rPr>
                <w:rFonts w:ascii="Arial" w:hAnsi="Arial" w:cs="Arial"/>
                <w:b/>
                <w:color w:val="000000"/>
                <w:sz w:val="18"/>
                <w:szCs w:val="18"/>
              </w:rPr>
              <w:t xml:space="preserve">-13.697,71 </w:t>
            </w:r>
          </w:p>
        </w:tc>
        <w:tc>
          <w:tcPr>
            <w:tcW w:w="1110" w:type="pct"/>
            <w:tcBorders>
              <w:top w:val="nil"/>
              <w:left w:val="nil"/>
              <w:bottom w:val="nil"/>
              <w:right w:val="nil"/>
            </w:tcBorders>
            <w:noWrap/>
            <w:vAlign w:val="center"/>
            <w:hideMark/>
          </w:tcPr>
          <w:p w:rsidR="007B6702" w:rsidRPr="007D67E2" w:rsidRDefault="007B6702" w:rsidP="007B6702">
            <w:pPr>
              <w:spacing w:after="0" w:line="240" w:lineRule="auto"/>
              <w:jc w:val="right"/>
              <w:rPr>
                <w:rFonts w:ascii="Arial" w:hAnsi="Arial" w:cs="Arial"/>
                <w:b/>
                <w:color w:val="000000"/>
                <w:sz w:val="18"/>
                <w:szCs w:val="18"/>
              </w:rPr>
            </w:pPr>
            <w:r w:rsidRPr="007D67E2">
              <w:rPr>
                <w:rFonts w:ascii="Arial" w:hAnsi="Arial" w:cs="Arial"/>
                <w:b/>
                <w:color w:val="000000"/>
                <w:sz w:val="18"/>
                <w:szCs w:val="18"/>
              </w:rPr>
              <w:t>30.870,44</w:t>
            </w:r>
          </w:p>
        </w:tc>
      </w:tr>
      <w:tr w:rsidR="00AF4C3B" w:rsidRPr="00AF4C3B" w:rsidTr="0020061C">
        <w:trPr>
          <w:trHeight w:val="283"/>
          <w:jc w:val="center"/>
        </w:trPr>
        <w:tc>
          <w:tcPr>
            <w:tcW w:w="2781" w:type="pct"/>
            <w:tcBorders>
              <w:top w:val="nil"/>
              <w:left w:val="nil"/>
              <w:right w:val="nil"/>
            </w:tcBorders>
            <w:vAlign w:val="center"/>
            <w:hideMark/>
          </w:tcPr>
          <w:p w:rsidR="007B6702" w:rsidRPr="00AF4C3B" w:rsidRDefault="007B6702" w:rsidP="007B6702">
            <w:pPr>
              <w:spacing w:after="0" w:line="240" w:lineRule="auto"/>
              <w:jc w:val="both"/>
              <w:rPr>
                <w:rFonts w:ascii="Arial" w:hAnsi="Arial" w:cs="Arial"/>
                <w:color w:val="000000"/>
                <w:sz w:val="18"/>
                <w:szCs w:val="18"/>
              </w:rPr>
            </w:pPr>
            <w:r w:rsidRPr="00AF4C3B">
              <w:rPr>
                <w:rFonts w:ascii="Arial" w:hAnsi="Arial" w:cs="Arial"/>
                <w:color w:val="000000"/>
                <w:sz w:val="18"/>
                <w:szCs w:val="18"/>
              </w:rPr>
              <w:t>Retenciones y pagos a cuenta</w:t>
            </w:r>
          </w:p>
        </w:tc>
        <w:tc>
          <w:tcPr>
            <w:tcW w:w="1110" w:type="pct"/>
            <w:tcBorders>
              <w:top w:val="nil"/>
              <w:left w:val="nil"/>
              <w:right w:val="nil"/>
            </w:tcBorders>
            <w:noWrap/>
            <w:vAlign w:val="center"/>
            <w:hideMark/>
          </w:tcPr>
          <w:p w:rsidR="007B6702" w:rsidRPr="00AF4C3B" w:rsidRDefault="007B6702" w:rsidP="007B6702">
            <w:pPr>
              <w:spacing w:after="0" w:line="240" w:lineRule="auto"/>
              <w:jc w:val="right"/>
              <w:rPr>
                <w:rFonts w:ascii="Arial" w:hAnsi="Arial" w:cs="Arial"/>
                <w:color w:val="000000"/>
                <w:sz w:val="18"/>
                <w:szCs w:val="18"/>
              </w:rPr>
            </w:pPr>
            <w:r w:rsidRPr="00AF4C3B">
              <w:rPr>
                <w:rFonts w:ascii="Arial" w:hAnsi="Arial" w:cs="Arial"/>
                <w:color w:val="000000"/>
                <w:sz w:val="18"/>
                <w:szCs w:val="18"/>
              </w:rPr>
              <w:t>-</w:t>
            </w:r>
          </w:p>
        </w:tc>
        <w:tc>
          <w:tcPr>
            <w:tcW w:w="1110" w:type="pct"/>
            <w:tcBorders>
              <w:top w:val="nil"/>
              <w:left w:val="nil"/>
              <w:right w:val="nil"/>
            </w:tcBorders>
            <w:noWrap/>
            <w:vAlign w:val="center"/>
            <w:hideMark/>
          </w:tcPr>
          <w:p w:rsidR="007B6702" w:rsidRPr="00AF4C3B" w:rsidRDefault="007B6702" w:rsidP="007B6702">
            <w:pPr>
              <w:spacing w:after="0" w:line="240" w:lineRule="auto"/>
              <w:jc w:val="right"/>
              <w:rPr>
                <w:rFonts w:ascii="Arial" w:hAnsi="Arial" w:cs="Arial"/>
                <w:color w:val="000000"/>
                <w:sz w:val="18"/>
                <w:szCs w:val="18"/>
              </w:rPr>
            </w:pPr>
            <w:r w:rsidRPr="00AF4C3B">
              <w:rPr>
                <w:rFonts w:ascii="Arial" w:hAnsi="Arial" w:cs="Arial"/>
                <w:color w:val="000000"/>
                <w:sz w:val="18"/>
                <w:szCs w:val="18"/>
              </w:rPr>
              <w:t>-</w:t>
            </w:r>
          </w:p>
        </w:tc>
      </w:tr>
      <w:tr w:rsidR="007B6702" w:rsidRPr="00AF4C3B" w:rsidTr="0020061C">
        <w:trPr>
          <w:trHeight w:val="283"/>
          <w:jc w:val="center"/>
        </w:trPr>
        <w:tc>
          <w:tcPr>
            <w:tcW w:w="2781" w:type="pct"/>
            <w:tcBorders>
              <w:top w:val="single" w:sz="4" w:space="0" w:color="auto"/>
              <w:left w:val="nil"/>
              <w:bottom w:val="single" w:sz="4" w:space="0" w:color="auto"/>
              <w:right w:val="nil"/>
            </w:tcBorders>
            <w:shd w:val="clear" w:color="auto" w:fill="F2F2F2" w:themeFill="background1" w:themeFillShade="F2"/>
            <w:vAlign w:val="center"/>
          </w:tcPr>
          <w:p w:rsidR="007B6702" w:rsidRPr="00AF4C3B" w:rsidRDefault="007B6702" w:rsidP="007B6702">
            <w:pPr>
              <w:spacing w:after="0" w:line="240" w:lineRule="auto"/>
              <w:jc w:val="both"/>
              <w:rPr>
                <w:rFonts w:ascii="Arial" w:hAnsi="Arial" w:cs="Arial"/>
                <w:b/>
                <w:bCs/>
                <w:color w:val="000000"/>
                <w:sz w:val="18"/>
                <w:szCs w:val="18"/>
              </w:rPr>
            </w:pPr>
            <w:r w:rsidRPr="00AF4C3B">
              <w:rPr>
                <w:rFonts w:ascii="Arial" w:hAnsi="Arial" w:cs="Arial"/>
                <w:b/>
                <w:bCs/>
                <w:color w:val="000000"/>
                <w:sz w:val="18"/>
                <w:szCs w:val="18"/>
              </w:rPr>
              <w:t>Líquido a ingresas o devolver</w:t>
            </w:r>
          </w:p>
        </w:tc>
        <w:tc>
          <w:tcPr>
            <w:tcW w:w="1110" w:type="pct"/>
            <w:tcBorders>
              <w:top w:val="single" w:sz="4" w:space="0" w:color="auto"/>
              <w:left w:val="nil"/>
              <w:bottom w:val="single" w:sz="4" w:space="0" w:color="auto"/>
              <w:right w:val="nil"/>
            </w:tcBorders>
            <w:shd w:val="clear" w:color="auto" w:fill="F2F2F2" w:themeFill="background1" w:themeFillShade="F2"/>
            <w:noWrap/>
            <w:vAlign w:val="center"/>
          </w:tcPr>
          <w:p w:rsidR="007B6702" w:rsidRPr="00AF4C3B" w:rsidRDefault="007B6702" w:rsidP="007B6702">
            <w:pPr>
              <w:spacing w:after="0" w:line="240" w:lineRule="auto"/>
              <w:jc w:val="right"/>
              <w:rPr>
                <w:rFonts w:ascii="Arial" w:hAnsi="Arial" w:cs="Arial"/>
                <w:b/>
                <w:bCs/>
                <w:color w:val="000000"/>
                <w:sz w:val="18"/>
                <w:szCs w:val="18"/>
              </w:rPr>
            </w:pPr>
            <w:r w:rsidRPr="00AF4C3B">
              <w:rPr>
                <w:rFonts w:ascii="Arial" w:hAnsi="Arial" w:cs="Arial"/>
                <w:b/>
                <w:bCs/>
                <w:color w:val="000000"/>
                <w:sz w:val="18"/>
                <w:szCs w:val="18"/>
              </w:rPr>
              <w:t>-13.697,71</w:t>
            </w:r>
          </w:p>
        </w:tc>
        <w:tc>
          <w:tcPr>
            <w:tcW w:w="1110" w:type="pct"/>
            <w:tcBorders>
              <w:top w:val="single" w:sz="4" w:space="0" w:color="auto"/>
              <w:left w:val="nil"/>
              <w:bottom w:val="single" w:sz="4" w:space="0" w:color="auto"/>
              <w:right w:val="nil"/>
            </w:tcBorders>
            <w:shd w:val="clear" w:color="auto" w:fill="F2F2F2" w:themeFill="background1" w:themeFillShade="F2"/>
            <w:noWrap/>
            <w:vAlign w:val="center"/>
          </w:tcPr>
          <w:p w:rsidR="007B6702" w:rsidRPr="00AF4C3B" w:rsidRDefault="007B6702" w:rsidP="007B6702">
            <w:pPr>
              <w:spacing w:after="0" w:line="240" w:lineRule="auto"/>
              <w:jc w:val="right"/>
              <w:rPr>
                <w:rFonts w:ascii="Arial" w:hAnsi="Arial" w:cs="Arial"/>
                <w:b/>
                <w:bCs/>
                <w:color w:val="000000"/>
                <w:sz w:val="18"/>
                <w:szCs w:val="18"/>
              </w:rPr>
            </w:pPr>
            <w:r w:rsidRPr="00AF4C3B">
              <w:rPr>
                <w:rFonts w:ascii="Arial" w:hAnsi="Arial" w:cs="Arial"/>
                <w:b/>
                <w:bCs/>
                <w:color w:val="000000"/>
                <w:sz w:val="18"/>
                <w:szCs w:val="18"/>
              </w:rPr>
              <w:t>30.870,44</w:t>
            </w:r>
          </w:p>
        </w:tc>
      </w:tr>
    </w:tbl>
    <w:p w:rsidR="00ED657B" w:rsidRPr="00C67C91" w:rsidRDefault="00336822" w:rsidP="0020061C">
      <w:pPr>
        <w:pStyle w:val="CM25"/>
        <w:keepNext/>
        <w:keepLines/>
        <w:widowControl/>
        <w:autoSpaceDE/>
        <w:autoSpaceDN/>
        <w:adjustRightInd/>
        <w:spacing w:before="120" w:after="0" w:line="260" w:lineRule="exact"/>
        <w:jc w:val="both"/>
        <w:rPr>
          <w:rFonts w:ascii="Arial" w:hAnsi="Arial" w:cs="Arial"/>
          <w:b/>
          <w:bCs/>
          <w:sz w:val="20"/>
          <w:szCs w:val="20"/>
          <w:u w:val="single"/>
        </w:rPr>
      </w:pPr>
      <w:r w:rsidRPr="00C67C91">
        <w:rPr>
          <w:rFonts w:ascii="Arial" w:hAnsi="Arial" w:cs="Arial"/>
          <w:b/>
          <w:bCs/>
          <w:sz w:val="20"/>
          <w:szCs w:val="20"/>
          <w:u w:val="single"/>
        </w:rPr>
        <w:t>Bases imponibles negativas</w:t>
      </w:r>
    </w:p>
    <w:p w:rsidR="00336822" w:rsidRPr="00C67C91" w:rsidRDefault="00336822" w:rsidP="008C2F9C">
      <w:pPr>
        <w:keepNext/>
        <w:keepLines/>
        <w:widowControl w:val="0"/>
        <w:spacing w:before="120" w:after="120" w:line="260" w:lineRule="exact"/>
        <w:jc w:val="both"/>
        <w:rPr>
          <w:rFonts w:ascii="Arial" w:hAnsi="Arial" w:cs="Arial"/>
          <w:sz w:val="20"/>
          <w:szCs w:val="20"/>
        </w:rPr>
      </w:pPr>
      <w:r w:rsidRPr="00C67C91">
        <w:rPr>
          <w:rFonts w:ascii="Arial" w:hAnsi="Arial" w:cs="Arial"/>
          <w:sz w:val="20"/>
          <w:szCs w:val="20"/>
        </w:rPr>
        <w:t>Se detallan a continuación las bases imponibles negativas pendientes de compensar</w:t>
      </w:r>
      <w:r w:rsidR="008C2F9C">
        <w:rPr>
          <w:rFonts w:ascii="Arial" w:hAnsi="Arial" w:cs="Arial"/>
          <w:sz w:val="20"/>
          <w:szCs w:val="20"/>
        </w:rPr>
        <w:t>:</w:t>
      </w:r>
    </w:p>
    <w:tbl>
      <w:tblPr>
        <w:tblW w:w="5000" w:type="pct"/>
        <w:tblCellMar>
          <w:left w:w="70" w:type="dxa"/>
          <w:right w:w="70" w:type="dxa"/>
        </w:tblCellMar>
        <w:tblLook w:val="04A0"/>
      </w:tblPr>
      <w:tblGrid>
        <w:gridCol w:w="3615"/>
        <w:gridCol w:w="1313"/>
        <w:gridCol w:w="1312"/>
        <w:gridCol w:w="1312"/>
        <w:gridCol w:w="1093"/>
      </w:tblGrid>
      <w:tr w:rsidR="003E0CED" w:rsidRPr="00C67C91" w:rsidTr="0020061C">
        <w:trPr>
          <w:trHeight w:val="283"/>
        </w:trPr>
        <w:tc>
          <w:tcPr>
            <w:tcW w:w="2090" w:type="pct"/>
            <w:tcBorders>
              <w:top w:val="nil"/>
              <w:left w:val="nil"/>
              <w:bottom w:val="single" w:sz="4" w:space="0" w:color="auto"/>
              <w:right w:val="nil"/>
            </w:tcBorders>
            <w:shd w:val="clear" w:color="000000" w:fill="D9D9D9"/>
            <w:noWrap/>
            <w:vAlign w:val="bottom"/>
            <w:hideMark/>
          </w:tcPr>
          <w:p w:rsidR="003E0CED" w:rsidRPr="00C67C91" w:rsidRDefault="003E0CED"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Bases Imponibles Negativas</w:t>
            </w:r>
          </w:p>
        </w:tc>
        <w:tc>
          <w:tcPr>
            <w:tcW w:w="759" w:type="pct"/>
            <w:tcBorders>
              <w:top w:val="nil"/>
              <w:left w:val="nil"/>
              <w:bottom w:val="single" w:sz="4" w:space="0" w:color="auto"/>
              <w:right w:val="nil"/>
            </w:tcBorders>
            <w:shd w:val="clear" w:color="000000" w:fill="D9D9D9"/>
            <w:noWrap/>
            <w:vAlign w:val="bottom"/>
            <w:hideMark/>
          </w:tcPr>
          <w:p w:rsidR="003E0CED" w:rsidRPr="00C67C91" w:rsidRDefault="003E0CED"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A compensar</w:t>
            </w:r>
          </w:p>
        </w:tc>
        <w:tc>
          <w:tcPr>
            <w:tcW w:w="759" w:type="pct"/>
            <w:tcBorders>
              <w:top w:val="nil"/>
              <w:left w:val="nil"/>
              <w:bottom w:val="single" w:sz="4" w:space="0" w:color="auto"/>
              <w:right w:val="nil"/>
            </w:tcBorders>
            <w:shd w:val="clear" w:color="000000" w:fill="D9D9D9"/>
            <w:noWrap/>
            <w:vAlign w:val="bottom"/>
            <w:hideMark/>
          </w:tcPr>
          <w:p w:rsidR="003E0CED" w:rsidRPr="00C67C91" w:rsidRDefault="003E0CED"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Aplicado</w:t>
            </w:r>
          </w:p>
        </w:tc>
        <w:tc>
          <w:tcPr>
            <w:tcW w:w="759" w:type="pct"/>
            <w:tcBorders>
              <w:top w:val="nil"/>
              <w:left w:val="nil"/>
              <w:bottom w:val="single" w:sz="4" w:space="0" w:color="auto"/>
              <w:right w:val="nil"/>
            </w:tcBorders>
            <w:shd w:val="clear" w:color="000000" w:fill="D9D9D9"/>
            <w:noWrap/>
            <w:vAlign w:val="bottom"/>
            <w:hideMark/>
          </w:tcPr>
          <w:p w:rsidR="003E0CED" w:rsidRPr="00C67C91" w:rsidRDefault="003E0CED"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Pendiente</w:t>
            </w:r>
          </w:p>
        </w:tc>
        <w:tc>
          <w:tcPr>
            <w:tcW w:w="632" w:type="pct"/>
            <w:tcBorders>
              <w:top w:val="nil"/>
              <w:left w:val="nil"/>
              <w:bottom w:val="single" w:sz="4" w:space="0" w:color="auto"/>
              <w:right w:val="nil"/>
            </w:tcBorders>
            <w:shd w:val="clear" w:color="000000" w:fill="D9D9D9"/>
            <w:noWrap/>
            <w:vAlign w:val="bottom"/>
            <w:hideMark/>
          </w:tcPr>
          <w:p w:rsidR="003E0CED" w:rsidRPr="00C67C91" w:rsidRDefault="003E0CED"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Limite Año</w:t>
            </w:r>
          </w:p>
        </w:tc>
      </w:tr>
      <w:tr w:rsidR="003E0CED" w:rsidRPr="00C67C91" w:rsidTr="0020061C">
        <w:trPr>
          <w:trHeight w:val="283"/>
        </w:trPr>
        <w:tc>
          <w:tcPr>
            <w:tcW w:w="2090" w:type="pct"/>
            <w:tcBorders>
              <w:top w:val="nil"/>
              <w:left w:val="nil"/>
              <w:bottom w:val="nil"/>
              <w:right w:val="nil"/>
            </w:tcBorders>
            <w:noWrap/>
            <w:vAlign w:val="center"/>
            <w:hideMark/>
          </w:tcPr>
          <w:p w:rsidR="003E0CED" w:rsidRPr="00C67C91" w:rsidRDefault="003E0CED" w:rsidP="00A02770">
            <w:pPr>
              <w:spacing w:after="0" w:line="240" w:lineRule="auto"/>
              <w:jc w:val="both"/>
              <w:rPr>
                <w:rFonts w:ascii="Arial" w:hAnsi="Arial" w:cs="Arial"/>
                <w:color w:val="000000"/>
                <w:sz w:val="18"/>
                <w:szCs w:val="18"/>
              </w:rPr>
            </w:pPr>
            <w:r w:rsidRPr="00C67C91">
              <w:rPr>
                <w:rFonts w:ascii="Arial" w:hAnsi="Arial" w:cs="Arial"/>
                <w:color w:val="000000"/>
                <w:sz w:val="18"/>
                <w:szCs w:val="18"/>
              </w:rPr>
              <w:t xml:space="preserve">B.I. </w:t>
            </w:r>
            <w:proofErr w:type="spellStart"/>
            <w:r w:rsidRPr="00C67C91">
              <w:rPr>
                <w:rFonts w:ascii="Arial" w:hAnsi="Arial" w:cs="Arial"/>
                <w:color w:val="000000"/>
                <w:sz w:val="18"/>
                <w:szCs w:val="18"/>
              </w:rPr>
              <w:t>Neg.Rég.General</w:t>
            </w:r>
            <w:proofErr w:type="spellEnd"/>
            <w:r w:rsidRPr="00C67C91">
              <w:rPr>
                <w:rFonts w:ascii="Arial" w:hAnsi="Arial" w:cs="Arial"/>
                <w:color w:val="000000"/>
                <w:sz w:val="18"/>
                <w:szCs w:val="18"/>
              </w:rPr>
              <w:t xml:space="preserve"> </w:t>
            </w:r>
            <w:proofErr w:type="spellStart"/>
            <w:r w:rsidRPr="00C67C91">
              <w:rPr>
                <w:rFonts w:ascii="Arial" w:hAnsi="Arial" w:cs="Arial"/>
                <w:color w:val="000000"/>
                <w:sz w:val="18"/>
                <w:szCs w:val="18"/>
              </w:rPr>
              <w:t>Ejerc</w:t>
            </w:r>
            <w:proofErr w:type="spellEnd"/>
            <w:r w:rsidRPr="00C67C91">
              <w:rPr>
                <w:rFonts w:ascii="Arial" w:hAnsi="Arial" w:cs="Arial"/>
                <w:color w:val="000000"/>
                <w:sz w:val="18"/>
                <w:szCs w:val="18"/>
              </w:rPr>
              <w:t xml:space="preserve">. 2012 </w:t>
            </w:r>
          </w:p>
        </w:tc>
        <w:tc>
          <w:tcPr>
            <w:tcW w:w="759" w:type="pct"/>
            <w:tcBorders>
              <w:top w:val="nil"/>
              <w:left w:val="nil"/>
              <w:bottom w:val="nil"/>
              <w:right w:val="nil"/>
            </w:tcBorders>
            <w:noWrap/>
            <w:vAlign w:val="center"/>
            <w:hideMark/>
          </w:tcPr>
          <w:p w:rsidR="003E0CED" w:rsidRPr="00C67C91" w:rsidRDefault="003E0CED"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36.612,84</w:t>
            </w:r>
          </w:p>
        </w:tc>
        <w:tc>
          <w:tcPr>
            <w:tcW w:w="759" w:type="pct"/>
            <w:tcBorders>
              <w:top w:val="nil"/>
              <w:left w:val="nil"/>
              <w:bottom w:val="nil"/>
              <w:right w:val="nil"/>
            </w:tcBorders>
            <w:noWrap/>
            <w:vAlign w:val="center"/>
            <w:hideMark/>
          </w:tcPr>
          <w:p w:rsidR="003E0CED" w:rsidRPr="00C67C91" w:rsidRDefault="00403BC5" w:rsidP="00A0277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759" w:type="pct"/>
            <w:tcBorders>
              <w:top w:val="nil"/>
              <w:left w:val="nil"/>
              <w:bottom w:val="nil"/>
              <w:right w:val="nil"/>
            </w:tcBorders>
            <w:noWrap/>
            <w:vAlign w:val="center"/>
            <w:hideMark/>
          </w:tcPr>
          <w:p w:rsidR="003E0CED" w:rsidRPr="00C67C91" w:rsidRDefault="003E0CED"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36.612,84</w:t>
            </w:r>
          </w:p>
        </w:tc>
        <w:tc>
          <w:tcPr>
            <w:tcW w:w="632" w:type="pct"/>
            <w:tcBorders>
              <w:top w:val="nil"/>
              <w:left w:val="nil"/>
              <w:bottom w:val="nil"/>
              <w:right w:val="nil"/>
            </w:tcBorders>
            <w:noWrap/>
            <w:vAlign w:val="center"/>
            <w:hideMark/>
          </w:tcPr>
          <w:p w:rsidR="003E0CED" w:rsidRPr="00C67C91" w:rsidRDefault="003E0CED" w:rsidP="00A02770">
            <w:pPr>
              <w:spacing w:after="0" w:line="240" w:lineRule="auto"/>
              <w:jc w:val="center"/>
              <w:rPr>
                <w:rFonts w:ascii="Arial" w:hAnsi="Arial" w:cs="Arial"/>
                <w:color w:val="000000"/>
                <w:sz w:val="18"/>
                <w:szCs w:val="18"/>
              </w:rPr>
            </w:pPr>
            <w:r w:rsidRPr="00C67C91">
              <w:rPr>
                <w:rFonts w:ascii="Arial" w:hAnsi="Arial" w:cs="Arial"/>
                <w:color w:val="000000"/>
                <w:sz w:val="18"/>
                <w:szCs w:val="18"/>
              </w:rPr>
              <w:t xml:space="preserve">2030/2031 </w:t>
            </w:r>
          </w:p>
        </w:tc>
      </w:tr>
      <w:tr w:rsidR="003E0CED" w:rsidRPr="00C67C91" w:rsidTr="0020061C">
        <w:trPr>
          <w:trHeight w:val="283"/>
        </w:trPr>
        <w:tc>
          <w:tcPr>
            <w:tcW w:w="2090" w:type="pct"/>
            <w:tcBorders>
              <w:top w:val="nil"/>
              <w:left w:val="nil"/>
              <w:bottom w:val="single" w:sz="4" w:space="0" w:color="auto"/>
              <w:right w:val="nil"/>
            </w:tcBorders>
            <w:noWrap/>
            <w:vAlign w:val="center"/>
            <w:hideMark/>
          </w:tcPr>
          <w:p w:rsidR="003E0CED" w:rsidRPr="00C67C91" w:rsidRDefault="003E0CED" w:rsidP="00A02770">
            <w:pPr>
              <w:spacing w:after="0" w:line="240" w:lineRule="auto"/>
              <w:jc w:val="both"/>
              <w:rPr>
                <w:rFonts w:ascii="Arial" w:hAnsi="Arial" w:cs="Arial"/>
                <w:color w:val="000000"/>
                <w:sz w:val="18"/>
                <w:szCs w:val="18"/>
              </w:rPr>
            </w:pPr>
            <w:r w:rsidRPr="00C67C91">
              <w:rPr>
                <w:rFonts w:ascii="Arial" w:hAnsi="Arial" w:cs="Arial"/>
                <w:color w:val="000000"/>
                <w:sz w:val="18"/>
                <w:szCs w:val="18"/>
              </w:rPr>
              <w:t xml:space="preserve">B.I. </w:t>
            </w:r>
            <w:proofErr w:type="spellStart"/>
            <w:r w:rsidRPr="00C67C91">
              <w:rPr>
                <w:rFonts w:ascii="Arial" w:hAnsi="Arial" w:cs="Arial"/>
                <w:color w:val="000000"/>
                <w:sz w:val="18"/>
                <w:szCs w:val="18"/>
              </w:rPr>
              <w:t>Neg.Rég.General</w:t>
            </w:r>
            <w:proofErr w:type="spellEnd"/>
            <w:r w:rsidRPr="00C67C91">
              <w:rPr>
                <w:rFonts w:ascii="Arial" w:hAnsi="Arial" w:cs="Arial"/>
                <w:color w:val="000000"/>
                <w:sz w:val="18"/>
                <w:szCs w:val="18"/>
              </w:rPr>
              <w:t xml:space="preserve"> </w:t>
            </w:r>
            <w:proofErr w:type="spellStart"/>
            <w:r w:rsidRPr="00C67C91">
              <w:rPr>
                <w:rFonts w:ascii="Arial" w:hAnsi="Arial" w:cs="Arial"/>
                <w:color w:val="000000"/>
                <w:sz w:val="18"/>
                <w:szCs w:val="18"/>
              </w:rPr>
              <w:t>Ejerc</w:t>
            </w:r>
            <w:proofErr w:type="spellEnd"/>
            <w:r w:rsidRPr="00C67C91">
              <w:rPr>
                <w:rFonts w:ascii="Arial" w:hAnsi="Arial" w:cs="Arial"/>
                <w:color w:val="000000"/>
                <w:sz w:val="18"/>
                <w:szCs w:val="18"/>
              </w:rPr>
              <w:t xml:space="preserve">. 2013 </w:t>
            </w:r>
          </w:p>
        </w:tc>
        <w:tc>
          <w:tcPr>
            <w:tcW w:w="759" w:type="pct"/>
            <w:tcBorders>
              <w:top w:val="nil"/>
              <w:left w:val="nil"/>
              <w:bottom w:val="single" w:sz="4" w:space="0" w:color="auto"/>
              <w:right w:val="nil"/>
            </w:tcBorders>
            <w:noWrap/>
            <w:vAlign w:val="center"/>
            <w:hideMark/>
          </w:tcPr>
          <w:p w:rsidR="003E0CED" w:rsidRPr="00C67C91" w:rsidRDefault="003E0CED"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763,99</w:t>
            </w:r>
          </w:p>
        </w:tc>
        <w:tc>
          <w:tcPr>
            <w:tcW w:w="759" w:type="pct"/>
            <w:tcBorders>
              <w:top w:val="nil"/>
              <w:left w:val="nil"/>
              <w:bottom w:val="single" w:sz="4" w:space="0" w:color="auto"/>
              <w:right w:val="nil"/>
            </w:tcBorders>
            <w:noWrap/>
            <w:vAlign w:val="center"/>
            <w:hideMark/>
          </w:tcPr>
          <w:p w:rsidR="003E0CED" w:rsidRPr="00C67C91" w:rsidRDefault="00403BC5" w:rsidP="00A02770">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759" w:type="pct"/>
            <w:tcBorders>
              <w:top w:val="nil"/>
              <w:left w:val="nil"/>
              <w:bottom w:val="single" w:sz="4" w:space="0" w:color="auto"/>
              <w:right w:val="nil"/>
            </w:tcBorders>
            <w:noWrap/>
            <w:vAlign w:val="center"/>
            <w:hideMark/>
          </w:tcPr>
          <w:p w:rsidR="003E0CED" w:rsidRPr="00C67C91" w:rsidRDefault="003E0CED" w:rsidP="00A02770">
            <w:pPr>
              <w:spacing w:after="0" w:line="240" w:lineRule="auto"/>
              <w:jc w:val="right"/>
              <w:rPr>
                <w:rFonts w:ascii="Arial" w:hAnsi="Arial" w:cs="Arial"/>
                <w:color w:val="000000"/>
                <w:sz w:val="18"/>
                <w:szCs w:val="18"/>
              </w:rPr>
            </w:pPr>
            <w:r w:rsidRPr="00C67C91">
              <w:rPr>
                <w:rFonts w:ascii="Arial" w:hAnsi="Arial" w:cs="Arial"/>
                <w:color w:val="000000"/>
                <w:sz w:val="18"/>
                <w:szCs w:val="18"/>
              </w:rPr>
              <w:t>763,99</w:t>
            </w:r>
          </w:p>
        </w:tc>
        <w:tc>
          <w:tcPr>
            <w:tcW w:w="632" w:type="pct"/>
            <w:tcBorders>
              <w:top w:val="nil"/>
              <w:left w:val="nil"/>
              <w:bottom w:val="single" w:sz="4" w:space="0" w:color="auto"/>
              <w:right w:val="nil"/>
            </w:tcBorders>
            <w:noWrap/>
            <w:vAlign w:val="center"/>
            <w:hideMark/>
          </w:tcPr>
          <w:p w:rsidR="003E0CED" w:rsidRPr="00C67C91" w:rsidRDefault="003E0CED" w:rsidP="00A02770">
            <w:pPr>
              <w:spacing w:after="0" w:line="240" w:lineRule="auto"/>
              <w:jc w:val="center"/>
              <w:rPr>
                <w:rFonts w:ascii="Arial" w:hAnsi="Arial" w:cs="Arial"/>
                <w:color w:val="000000"/>
                <w:sz w:val="18"/>
                <w:szCs w:val="18"/>
              </w:rPr>
            </w:pPr>
            <w:r w:rsidRPr="00C67C91">
              <w:rPr>
                <w:rFonts w:ascii="Arial" w:hAnsi="Arial" w:cs="Arial"/>
                <w:color w:val="000000"/>
                <w:sz w:val="18"/>
                <w:szCs w:val="18"/>
              </w:rPr>
              <w:t xml:space="preserve">2031/2032 </w:t>
            </w:r>
          </w:p>
        </w:tc>
      </w:tr>
      <w:tr w:rsidR="003E0CED" w:rsidRPr="00C67C91" w:rsidTr="0020061C">
        <w:trPr>
          <w:trHeight w:val="283"/>
        </w:trPr>
        <w:tc>
          <w:tcPr>
            <w:tcW w:w="2090" w:type="pct"/>
            <w:tcBorders>
              <w:top w:val="single" w:sz="4" w:space="0" w:color="auto"/>
              <w:left w:val="nil"/>
              <w:bottom w:val="single" w:sz="4" w:space="0" w:color="auto"/>
              <w:right w:val="nil"/>
            </w:tcBorders>
            <w:shd w:val="clear" w:color="000000" w:fill="F2F2F2"/>
            <w:noWrap/>
            <w:vAlign w:val="center"/>
            <w:hideMark/>
          </w:tcPr>
          <w:p w:rsidR="003E0CED" w:rsidRPr="00C67C91" w:rsidRDefault="00885BAC" w:rsidP="00A02770">
            <w:pPr>
              <w:spacing w:after="0" w:line="240" w:lineRule="auto"/>
              <w:rPr>
                <w:rFonts w:ascii="Arial" w:hAnsi="Arial" w:cs="Arial"/>
                <w:b/>
                <w:bCs/>
                <w:color w:val="000000"/>
                <w:sz w:val="18"/>
                <w:szCs w:val="18"/>
              </w:rPr>
            </w:pPr>
            <w:r w:rsidRPr="00C67C91">
              <w:rPr>
                <w:rFonts w:ascii="Arial" w:hAnsi="Arial" w:cs="Arial"/>
                <w:b/>
                <w:bCs/>
                <w:color w:val="000000"/>
                <w:sz w:val="18"/>
                <w:szCs w:val="18"/>
              </w:rPr>
              <w:t>Total</w:t>
            </w:r>
          </w:p>
        </w:tc>
        <w:tc>
          <w:tcPr>
            <w:tcW w:w="759" w:type="pct"/>
            <w:tcBorders>
              <w:top w:val="single" w:sz="4" w:space="0" w:color="auto"/>
              <w:left w:val="nil"/>
              <w:bottom w:val="single" w:sz="4" w:space="0" w:color="auto"/>
              <w:right w:val="nil"/>
            </w:tcBorders>
            <w:shd w:val="clear" w:color="000000" w:fill="F2F2F2"/>
            <w:noWrap/>
            <w:vAlign w:val="center"/>
            <w:hideMark/>
          </w:tcPr>
          <w:p w:rsidR="003E0CED" w:rsidRPr="00C67C91" w:rsidRDefault="003E0CED"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37.376,83</w:t>
            </w:r>
          </w:p>
        </w:tc>
        <w:tc>
          <w:tcPr>
            <w:tcW w:w="759" w:type="pct"/>
            <w:tcBorders>
              <w:top w:val="single" w:sz="4" w:space="0" w:color="auto"/>
              <w:left w:val="nil"/>
              <w:bottom w:val="single" w:sz="4" w:space="0" w:color="auto"/>
              <w:right w:val="nil"/>
            </w:tcBorders>
            <w:shd w:val="clear" w:color="000000" w:fill="F2F2F2"/>
            <w:noWrap/>
            <w:vAlign w:val="center"/>
            <w:hideMark/>
          </w:tcPr>
          <w:p w:rsidR="003E0CED" w:rsidRPr="00C67C91" w:rsidRDefault="00403BC5" w:rsidP="00403BC5">
            <w:pPr>
              <w:spacing w:after="0" w:line="240" w:lineRule="auto"/>
              <w:jc w:val="right"/>
              <w:rPr>
                <w:rFonts w:ascii="Arial" w:hAnsi="Arial" w:cs="Arial"/>
                <w:b/>
                <w:bCs/>
                <w:color w:val="000000"/>
                <w:sz w:val="18"/>
                <w:szCs w:val="18"/>
              </w:rPr>
            </w:pPr>
            <w:r>
              <w:rPr>
                <w:rFonts w:ascii="Arial" w:hAnsi="Arial" w:cs="Arial"/>
                <w:b/>
                <w:bCs/>
                <w:color w:val="000000"/>
                <w:sz w:val="18"/>
                <w:szCs w:val="18"/>
              </w:rPr>
              <w:t>-</w:t>
            </w:r>
          </w:p>
        </w:tc>
        <w:tc>
          <w:tcPr>
            <w:tcW w:w="759" w:type="pct"/>
            <w:tcBorders>
              <w:top w:val="single" w:sz="4" w:space="0" w:color="auto"/>
              <w:left w:val="nil"/>
              <w:bottom w:val="single" w:sz="4" w:space="0" w:color="auto"/>
              <w:right w:val="nil"/>
            </w:tcBorders>
            <w:shd w:val="clear" w:color="000000" w:fill="F2F2F2"/>
            <w:noWrap/>
            <w:vAlign w:val="center"/>
            <w:hideMark/>
          </w:tcPr>
          <w:p w:rsidR="003E0CED" w:rsidRPr="00C67C91" w:rsidRDefault="003E0CED"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37.376,83</w:t>
            </w:r>
          </w:p>
        </w:tc>
        <w:tc>
          <w:tcPr>
            <w:tcW w:w="632" w:type="pct"/>
            <w:tcBorders>
              <w:top w:val="single" w:sz="4" w:space="0" w:color="auto"/>
              <w:left w:val="nil"/>
              <w:bottom w:val="single" w:sz="4" w:space="0" w:color="auto"/>
              <w:right w:val="nil"/>
            </w:tcBorders>
            <w:shd w:val="clear" w:color="000000" w:fill="F2F2F2"/>
            <w:noWrap/>
            <w:vAlign w:val="center"/>
            <w:hideMark/>
          </w:tcPr>
          <w:p w:rsidR="003E0CED" w:rsidRPr="00C67C91" w:rsidRDefault="003E0CED" w:rsidP="00A02770">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 </w:t>
            </w:r>
          </w:p>
        </w:tc>
      </w:tr>
    </w:tbl>
    <w:p w:rsidR="00523925" w:rsidRPr="00C67C91" w:rsidRDefault="00523925" w:rsidP="00A02770">
      <w:pPr>
        <w:pStyle w:val="Default"/>
        <w:rPr>
          <w:rFonts w:ascii="Arial" w:hAnsi="Arial" w:cs="Arial"/>
          <w:sz w:val="18"/>
          <w:szCs w:val="18"/>
        </w:rPr>
      </w:pPr>
    </w:p>
    <w:p w:rsidR="003E0CED" w:rsidRPr="00C67C91" w:rsidRDefault="003E0CED" w:rsidP="0020061C">
      <w:pPr>
        <w:keepNext/>
        <w:keepLines/>
        <w:spacing w:before="120" w:after="0" w:line="260" w:lineRule="exact"/>
        <w:jc w:val="both"/>
        <w:rPr>
          <w:rFonts w:ascii="Arial" w:hAnsi="Arial" w:cs="Arial"/>
          <w:b/>
          <w:bCs/>
          <w:sz w:val="20"/>
          <w:szCs w:val="20"/>
          <w:u w:val="single"/>
        </w:rPr>
      </w:pPr>
      <w:r w:rsidRPr="00C67C91">
        <w:rPr>
          <w:rFonts w:ascii="Arial" w:hAnsi="Arial" w:cs="Arial"/>
          <w:b/>
          <w:bCs/>
          <w:sz w:val="20"/>
          <w:szCs w:val="20"/>
          <w:u w:val="single"/>
        </w:rPr>
        <w:lastRenderedPageBreak/>
        <w:t>Deducciones Pendientes de Compensar Fiscalmente</w:t>
      </w:r>
    </w:p>
    <w:p w:rsidR="003E0CED" w:rsidRPr="00C67C91" w:rsidRDefault="003E0CED" w:rsidP="0020061C">
      <w:pPr>
        <w:spacing w:before="120" w:after="120" w:line="260" w:lineRule="exact"/>
        <w:jc w:val="both"/>
        <w:rPr>
          <w:rFonts w:ascii="Arial" w:hAnsi="Arial" w:cs="Arial"/>
          <w:sz w:val="20"/>
          <w:szCs w:val="20"/>
        </w:rPr>
      </w:pPr>
      <w:r w:rsidRPr="00C67C91">
        <w:rPr>
          <w:rFonts w:ascii="Arial" w:hAnsi="Arial" w:cs="Arial"/>
          <w:sz w:val="20"/>
          <w:szCs w:val="20"/>
        </w:rPr>
        <w:t>Es de aplicación dentro del Grupo fiscal de la deducción por Inversiones en Canarias en activos fijos nuevos. En el ejercicio se aplica el 25% sobre el valor de estos activos con el límite del 50% de la cuota líquida del IS. Estas deducciones son compatibles con el resto de las modalidades de deducción contempladas en la Ley 20/1991.</w:t>
      </w:r>
    </w:p>
    <w:tbl>
      <w:tblPr>
        <w:tblW w:w="5000" w:type="pct"/>
        <w:tblCellMar>
          <w:left w:w="70" w:type="dxa"/>
          <w:right w:w="70" w:type="dxa"/>
        </w:tblCellMar>
        <w:tblLook w:val="04A0"/>
      </w:tblPr>
      <w:tblGrid>
        <w:gridCol w:w="3015"/>
        <w:gridCol w:w="750"/>
        <w:gridCol w:w="1776"/>
        <w:gridCol w:w="1553"/>
        <w:gridCol w:w="1551"/>
      </w:tblGrid>
      <w:tr w:rsidR="00885BAC" w:rsidRPr="00C67C91" w:rsidTr="0020061C">
        <w:trPr>
          <w:trHeight w:val="283"/>
        </w:trPr>
        <w:tc>
          <w:tcPr>
            <w:tcW w:w="1744" w:type="pct"/>
            <w:tcBorders>
              <w:top w:val="nil"/>
              <w:left w:val="nil"/>
              <w:bottom w:val="single" w:sz="4" w:space="0" w:color="auto"/>
              <w:right w:val="nil"/>
            </w:tcBorders>
            <w:shd w:val="clear" w:color="000000" w:fill="D9D9D9"/>
            <w:noWrap/>
            <w:vAlign w:val="bottom"/>
            <w:hideMark/>
          </w:tcPr>
          <w:p w:rsidR="00885BAC" w:rsidRPr="00C67C91" w:rsidRDefault="00885BAC"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Deducciones</w:t>
            </w:r>
          </w:p>
        </w:tc>
        <w:tc>
          <w:tcPr>
            <w:tcW w:w="434" w:type="pct"/>
            <w:tcBorders>
              <w:top w:val="nil"/>
              <w:left w:val="nil"/>
              <w:bottom w:val="single" w:sz="4" w:space="0" w:color="auto"/>
              <w:right w:val="nil"/>
            </w:tcBorders>
            <w:shd w:val="clear" w:color="000000" w:fill="D9D9D9"/>
            <w:vAlign w:val="bottom"/>
            <w:hideMark/>
          </w:tcPr>
          <w:p w:rsidR="00885BAC" w:rsidRPr="00C67C91" w:rsidRDefault="00885BAC" w:rsidP="00A02770">
            <w:pPr>
              <w:spacing w:after="0" w:line="240" w:lineRule="auto"/>
              <w:jc w:val="center"/>
              <w:rPr>
                <w:rFonts w:ascii="Arial" w:hAnsi="Arial" w:cs="Arial"/>
                <w:b/>
                <w:bCs/>
                <w:sz w:val="18"/>
                <w:szCs w:val="18"/>
              </w:rPr>
            </w:pPr>
            <w:r w:rsidRPr="00C67C91">
              <w:rPr>
                <w:rFonts w:ascii="Arial" w:hAnsi="Arial" w:cs="Arial"/>
                <w:b/>
                <w:bCs/>
                <w:sz w:val="18"/>
                <w:szCs w:val="18"/>
              </w:rPr>
              <w:t>Año</w:t>
            </w:r>
          </w:p>
        </w:tc>
        <w:tc>
          <w:tcPr>
            <w:tcW w:w="1027" w:type="pct"/>
            <w:tcBorders>
              <w:top w:val="nil"/>
              <w:left w:val="nil"/>
              <w:bottom w:val="single" w:sz="4" w:space="0" w:color="auto"/>
              <w:right w:val="nil"/>
            </w:tcBorders>
            <w:shd w:val="clear" w:color="000000" w:fill="D9D9D9"/>
            <w:vAlign w:val="bottom"/>
            <w:hideMark/>
          </w:tcPr>
          <w:p w:rsidR="00885BAC" w:rsidRPr="00C67C91" w:rsidRDefault="00885BAC" w:rsidP="00A02770">
            <w:pPr>
              <w:spacing w:after="0" w:line="240" w:lineRule="auto"/>
              <w:jc w:val="center"/>
              <w:rPr>
                <w:rFonts w:ascii="Arial" w:hAnsi="Arial" w:cs="Arial"/>
                <w:b/>
                <w:bCs/>
                <w:sz w:val="18"/>
                <w:szCs w:val="18"/>
              </w:rPr>
            </w:pPr>
            <w:r w:rsidRPr="00C67C91">
              <w:rPr>
                <w:rFonts w:ascii="Arial" w:hAnsi="Arial" w:cs="Arial"/>
                <w:b/>
                <w:bCs/>
                <w:sz w:val="18"/>
                <w:szCs w:val="18"/>
              </w:rPr>
              <w:t xml:space="preserve">Deducción </w:t>
            </w:r>
          </w:p>
          <w:p w:rsidR="00885BAC" w:rsidRPr="00C67C91" w:rsidRDefault="00885BAC" w:rsidP="00A02770">
            <w:pPr>
              <w:spacing w:after="0" w:line="240" w:lineRule="auto"/>
              <w:jc w:val="center"/>
              <w:rPr>
                <w:rFonts w:ascii="Arial" w:hAnsi="Arial" w:cs="Arial"/>
                <w:b/>
                <w:bCs/>
                <w:sz w:val="18"/>
                <w:szCs w:val="18"/>
              </w:rPr>
            </w:pPr>
            <w:r w:rsidRPr="00C67C91">
              <w:rPr>
                <w:rFonts w:ascii="Arial" w:hAnsi="Arial" w:cs="Arial"/>
                <w:b/>
                <w:bCs/>
                <w:sz w:val="18"/>
                <w:szCs w:val="18"/>
              </w:rPr>
              <w:t>pendiente</w:t>
            </w:r>
          </w:p>
        </w:tc>
        <w:tc>
          <w:tcPr>
            <w:tcW w:w="898" w:type="pct"/>
            <w:tcBorders>
              <w:top w:val="nil"/>
              <w:left w:val="nil"/>
              <w:bottom w:val="single" w:sz="4" w:space="0" w:color="auto"/>
              <w:right w:val="nil"/>
            </w:tcBorders>
            <w:shd w:val="clear" w:color="000000" w:fill="D9D9D9"/>
            <w:vAlign w:val="bottom"/>
            <w:hideMark/>
          </w:tcPr>
          <w:p w:rsidR="00885BAC" w:rsidRPr="00C67C91" w:rsidRDefault="00885BAC"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 xml:space="preserve">Aplicado </w:t>
            </w:r>
          </w:p>
          <w:p w:rsidR="00885BAC" w:rsidRPr="00C67C91" w:rsidRDefault="00885BAC" w:rsidP="00403BC5">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Ejercicio</w:t>
            </w:r>
            <w:r w:rsidR="00042B36" w:rsidRPr="00C67C91">
              <w:rPr>
                <w:rFonts w:ascii="Arial" w:hAnsi="Arial" w:cs="Arial"/>
                <w:b/>
                <w:bCs/>
                <w:color w:val="000000"/>
                <w:sz w:val="18"/>
                <w:szCs w:val="18"/>
              </w:rPr>
              <w:t xml:space="preserve"> 20</w:t>
            </w:r>
            <w:r w:rsidR="00403BC5">
              <w:rPr>
                <w:rFonts w:ascii="Arial" w:hAnsi="Arial" w:cs="Arial"/>
                <w:b/>
                <w:bCs/>
                <w:color w:val="000000"/>
                <w:sz w:val="18"/>
                <w:szCs w:val="18"/>
              </w:rPr>
              <w:t>20</w:t>
            </w:r>
          </w:p>
        </w:tc>
        <w:tc>
          <w:tcPr>
            <w:tcW w:w="897" w:type="pct"/>
            <w:tcBorders>
              <w:top w:val="nil"/>
              <w:left w:val="nil"/>
              <w:bottom w:val="single" w:sz="4" w:space="0" w:color="auto"/>
              <w:right w:val="nil"/>
            </w:tcBorders>
            <w:shd w:val="clear" w:color="000000" w:fill="D9D9D9"/>
            <w:vAlign w:val="bottom"/>
            <w:hideMark/>
          </w:tcPr>
          <w:p w:rsidR="00885BAC" w:rsidRPr="00C67C91" w:rsidRDefault="00885BAC"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 xml:space="preserve">Pendiente </w:t>
            </w:r>
          </w:p>
          <w:p w:rsidR="00885BAC" w:rsidRPr="00C67C91" w:rsidRDefault="00885BAC" w:rsidP="00A02770">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Aplicar</w:t>
            </w:r>
          </w:p>
        </w:tc>
      </w:tr>
      <w:tr w:rsidR="00403BC5" w:rsidRPr="00C67C91" w:rsidTr="0020061C">
        <w:trPr>
          <w:trHeight w:val="283"/>
        </w:trPr>
        <w:tc>
          <w:tcPr>
            <w:tcW w:w="1744" w:type="pct"/>
            <w:tcBorders>
              <w:top w:val="nil"/>
              <w:left w:val="nil"/>
              <w:bottom w:val="nil"/>
              <w:right w:val="nil"/>
            </w:tcBorders>
            <w:vAlign w:val="center"/>
            <w:hideMark/>
          </w:tcPr>
          <w:p w:rsidR="00403BC5" w:rsidRPr="00C67C91" w:rsidRDefault="00403BC5" w:rsidP="00403BC5">
            <w:pPr>
              <w:spacing w:after="0" w:line="240" w:lineRule="auto"/>
              <w:rPr>
                <w:rFonts w:ascii="Arial" w:hAnsi="Arial" w:cs="Arial"/>
                <w:color w:val="000000"/>
                <w:sz w:val="18"/>
                <w:szCs w:val="18"/>
              </w:rPr>
            </w:pPr>
            <w:r w:rsidRPr="00C67C91">
              <w:rPr>
                <w:rFonts w:ascii="Arial" w:hAnsi="Arial" w:cs="Arial"/>
                <w:color w:val="000000"/>
                <w:sz w:val="18"/>
                <w:szCs w:val="18"/>
              </w:rPr>
              <w:t>Activos Fijos Nuevo</w:t>
            </w:r>
          </w:p>
        </w:tc>
        <w:tc>
          <w:tcPr>
            <w:tcW w:w="434" w:type="pct"/>
            <w:tcBorders>
              <w:top w:val="nil"/>
              <w:left w:val="nil"/>
              <w:bottom w:val="nil"/>
              <w:right w:val="nil"/>
            </w:tcBorders>
            <w:vAlign w:val="center"/>
            <w:hideMark/>
          </w:tcPr>
          <w:p w:rsidR="00403BC5" w:rsidRPr="00C67C91" w:rsidRDefault="00403BC5" w:rsidP="00403BC5">
            <w:pPr>
              <w:spacing w:after="0" w:line="240" w:lineRule="auto"/>
              <w:jc w:val="center"/>
              <w:rPr>
                <w:rFonts w:ascii="Arial" w:hAnsi="Arial" w:cs="Arial"/>
                <w:color w:val="000000"/>
                <w:sz w:val="18"/>
                <w:szCs w:val="18"/>
              </w:rPr>
            </w:pPr>
            <w:r w:rsidRPr="00C67C91">
              <w:rPr>
                <w:rFonts w:ascii="Arial" w:hAnsi="Arial" w:cs="Arial"/>
                <w:color w:val="000000"/>
                <w:sz w:val="18"/>
                <w:szCs w:val="18"/>
              </w:rPr>
              <w:t>2014</w:t>
            </w:r>
          </w:p>
        </w:tc>
        <w:tc>
          <w:tcPr>
            <w:tcW w:w="1027" w:type="pct"/>
            <w:tcBorders>
              <w:top w:val="nil"/>
              <w:left w:val="nil"/>
              <w:bottom w:val="nil"/>
              <w:right w:val="nil"/>
            </w:tcBorders>
            <w:vAlign w:val="center"/>
            <w:hideMark/>
          </w:tcPr>
          <w:p w:rsidR="00403BC5" w:rsidRPr="00C67C91" w:rsidRDefault="00403BC5" w:rsidP="00403BC5">
            <w:pPr>
              <w:spacing w:after="0" w:line="240" w:lineRule="auto"/>
              <w:jc w:val="right"/>
              <w:rPr>
                <w:rFonts w:ascii="Arial" w:hAnsi="Arial" w:cs="Arial"/>
                <w:color w:val="000000"/>
                <w:sz w:val="18"/>
                <w:szCs w:val="18"/>
              </w:rPr>
            </w:pPr>
            <w:r w:rsidRPr="00C67C91">
              <w:rPr>
                <w:rFonts w:ascii="Arial" w:hAnsi="Arial" w:cs="Arial"/>
                <w:color w:val="000000"/>
                <w:sz w:val="18"/>
                <w:szCs w:val="18"/>
              </w:rPr>
              <w:t>321.391,73</w:t>
            </w:r>
          </w:p>
        </w:tc>
        <w:tc>
          <w:tcPr>
            <w:tcW w:w="898" w:type="pct"/>
            <w:tcBorders>
              <w:top w:val="nil"/>
              <w:left w:val="nil"/>
              <w:bottom w:val="nil"/>
              <w:right w:val="nil"/>
            </w:tcBorders>
            <w:vAlign w:val="center"/>
            <w:hideMark/>
          </w:tcPr>
          <w:p w:rsidR="00403BC5" w:rsidRPr="00C67C91" w:rsidRDefault="00403BC5" w:rsidP="00403BC5">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7" w:type="pct"/>
            <w:tcBorders>
              <w:top w:val="nil"/>
              <w:left w:val="nil"/>
              <w:bottom w:val="nil"/>
              <w:right w:val="nil"/>
            </w:tcBorders>
            <w:vAlign w:val="center"/>
            <w:hideMark/>
          </w:tcPr>
          <w:p w:rsidR="00403BC5" w:rsidRPr="00C67C91" w:rsidRDefault="00403BC5" w:rsidP="00403BC5">
            <w:pPr>
              <w:spacing w:after="0" w:line="240" w:lineRule="auto"/>
              <w:jc w:val="right"/>
              <w:rPr>
                <w:rFonts w:ascii="Arial" w:hAnsi="Arial" w:cs="Arial"/>
                <w:color w:val="000000"/>
                <w:sz w:val="18"/>
                <w:szCs w:val="18"/>
              </w:rPr>
            </w:pPr>
            <w:r w:rsidRPr="00C67C91">
              <w:rPr>
                <w:rFonts w:ascii="Arial" w:hAnsi="Arial" w:cs="Arial"/>
                <w:color w:val="000000"/>
                <w:sz w:val="18"/>
                <w:szCs w:val="18"/>
              </w:rPr>
              <w:t>321.391,73</w:t>
            </w:r>
          </w:p>
        </w:tc>
      </w:tr>
      <w:tr w:rsidR="00403BC5" w:rsidRPr="00C67C91" w:rsidTr="0020061C">
        <w:trPr>
          <w:trHeight w:val="283"/>
        </w:trPr>
        <w:tc>
          <w:tcPr>
            <w:tcW w:w="1744" w:type="pct"/>
            <w:tcBorders>
              <w:top w:val="nil"/>
              <w:left w:val="nil"/>
              <w:bottom w:val="single" w:sz="4" w:space="0" w:color="auto"/>
              <w:right w:val="nil"/>
            </w:tcBorders>
            <w:vAlign w:val="center"/>
            <w:hideMark/>
          </w:tcPr>
          <w:p w:rsidR="00403BC5" w:rsidRPr="00C67C91" w:rsidRDefault="00403BC5" w:rsidP="00403BC5">
            <w:pPr>
              <w:spacing w:after="0" w:line="240" w:lineRule="auto"/>
              <w:rPr>
                <w:rFonts w:ascii="Arial" w:hAnsi="Arial" w:cs="Arial"/>
                <w:color w:val="000000"/>
                <w:sz w:val="18"/>
                <w:szCs w:val="18"/>
              </w:rPr>
            </w:pPr>
            <w:r w:rsidRPr="00C67C91">
              <w:rPr>
                <w:rFonts w:ascii="Arial" w:hAnsi="Arial" w:cs="Arial"/>
                <w:color w:val="000000"/>
                <w:sz w:val="18"/>
                <w:szCs w:val="18"/>
              </w:rPr>
              <w:t>Activos Fijos Nuevo</w:t>
            </w:r>
          </w:p>
        </w:tc>
        <w:tc>
          <w:tcPr>
            <w:tcW w:w="434" w:type="pct"/>
            <w:tcBorders>
              <w:top w:val="nil"/>
              <w:left w:val="nil"/>
              <w:bottom w:val="single" w:sz="4" w:space="0" w:color="auto"/>
              <w:right w:val="nil"/>
            </w:tcBorders>
            <w:vAlign w:val="center"/>
            <w:hideMark/>
          </w:tcPr>
          <w:p w:rsidR="00403BC5" w:rsidRPr="00C67C91" w:rsidRDefault="00403BC5" w:rsidP="00403BC5">
            <w:pPr>
              <w:spacing w:after="0" w:line="240" w:lineRule="auto"/>
              <w:jc w:val="center"/>
              <w:rPr>
                <w:rFonts w:ascii="Arial" w:hAnsi="Arial" w:cs="Arial"/>
                <w:color w:val="000000"/>
                <w:sz w:val="18"/>
                <w:szCs w:val="18"/>
              </w:rPr>
            </w:pPr>
            <w:r w:rsidRPr="00C67C91">
              <w:rPr>
                <w:rFonts w:ascii="Arial" w:hAnsi="Arial" w:cs="Arial"/>
                <w:color w:val="000000"/>
                <w:sz w:val="18"/>
                <w:szCs w:val="18"/>
              </w:rPr>
              <w:t>2015</w:t>
            </w:r>
          </w:p>
        </w:tc>
        <w:tc>
          <w:tcPr>
            <w:tcW w:w="1027" w:type="pct"/>
            <w:tcBorders>
              <w:top w:val="nil"/>
              <w:left w:val="nil"/>
              <w:bottom w:val="single" w:sz="4" w:space="0" w:color="auto"/>
              <w:right w:val="nil"/>
            </w:tcBorders>
            <w:vAlign w:val="center"/>
            <w:hideMark/>
          </w:tcPr>
          <w:p w:rsidR="00403BC5" w:rsidRPr="00C67C91" w:rsidRDefault="00403BC5" w:rsidP="00403BC5">
            <w:pPr>
              <w:spacing w:after="0" w:line="240" w:lineRule="auto"/>
              <w:jc w:val="right"/>
              <w:rPr>
                <w:rFonts w:ascii="Arial" w:hAnsi="Arial" w:cs="Arial"/>
                <w:color w:val="000000"/>
                <w:sz w:val="18"/>
                <w:szCs w:val="18"/>
              </w:rPr>
            </w:pPr>
            <w:r w:rsidRPr="00C67C91">
              <w:rPr>
                <w:rFonts w:ascii="Arial" w:hAnsi="Arial" w:cs="Arial"/>
                <w:color w:val="000000"/>
                <w:sz w:val="18"/>
                <w:szCs w:val="18"/>
              </w:rPr>
              <w:t>198.178,51</w:t>
            </w:r>
          </w:p>
        </w:tc>
        <w:tc>
          <w:tcPr>
            <w:tcW w:w="898" w:type="pct"/>
            <w:tcBorders>
              <w:top w:val="nil"/>
              <w:left w:val="nil"/>
              <w:bottom w:val="single" w:sz="4" w:space="0" w:color="auto"/>
              <w:right w:val="nil"/>
            </w:tcBorders>
            <w:vAlign w:val="center"/>
            <w:hideMark/>
          </w:tcPr>
          <w:p w:rsidR="00403BC5" w:rsidRPr="00C67C91" w:rsidRDefault="007D67E2" w:rsidP="00403BC5">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7" w:type="pct"/>
            <w:tcBorders>
              <w:top w:val="nil"/>
              <w:left w:val="nil"/>
              <w:bottom w:val="single" w:sz="4" w:space="0" w:color="auto"/>
              <w:right w:val="nil"/>
            </w:tcBorders>
            <w:vAlign w:val="center"/>
            <w:hideMark/>
          </w:tcPr>
          <w:p w:rsidR="00403BC5" w:rsidRPr="00C67C91" w:rsidRDefault="00403BC5" w:rsidP="00403BC5">
            <w:pPr>
              <w:spacing w:after="0" w:line="240" w:lineRule="auto"/>
              <w:jc w:val="right"/>
              <w:rPr>
                <w:rFonts w:ascii="Arial" w:hAnsi="Arial" w:cs="Arial"/>
                <w:color w:val="000000"/>
                <w:sz w:val="18"/>
                <w:szCs w:val="18"/>
              </w:rPr>
            </w:pPr>
            <w:r w:rsidRPr="00C67C91">
              <w:rPr>
                <w:rFonts w:ascii="Arial" w:hAnsi="Arial" w:cs="Arial"/>
                <w:color w:val="000000"/>
                <w:sz w:val="18"/>
                <w:szCs w:val="18"/>
              </w:rPr>
              <w:t>198.178,51</w:t>
            </w:r>
          </w:p>
        </w:tc>
      </w:tr>
      <w:tr w:rsidR="00403BC5" w:rsidRPr="00C67C91" w:rsidTr="0020061C">
        <w:trPr>
          <w:trHeight w:val="283"/>
        </w:trPr>
        <w:tc>
          <w:tcPr>
            <w:tcW w:w="1744" w:type="pct"/>
            <w:tcBorders>
              <w:top w:val="nil"/>
              <w:left w:val="nil"/>
              <w:bottom w:val="single" w:sz="4" w:space="0" w:color="auto"/>
              <w:right w:val="nil"/>
            </w:tcBorders>
            <w:shd w:val="clear" w:color="000000" w:fill="F2F2F2"/>
            <w:vAlign w:val="center"/>
            <w:hideMark/>
          </w:tcPr>
          <w:p w:rsidR="00403BC5" w:rsidRPr="00C67C91" w:rsidRDefault="00403BC5" w:rsidP="00403BC5">
            <w:pPr>
              <w:spacing w:after="0" w:line="240" w:lineRule="auto"/>
              <w:rPr>
                <w:rFonts w:ascii="Arial" w:hAnsi="Arial" w:cs="Arial"/>
                <w:b/>
                <w:bCs/>
                <w:sz w:val="18"/>
                <w:szCs w:val="18"/>
              </w:rPr>
            </w:pPr>
            <w:r w:rsidRPr="00C67C91">
              <w:rPr>
                <w:rFonts w:ascii="Arial" w:hAnsi="Arial" w:cs="Arial"/>
                <w:b/>
                <w:bCs/>
                <w:sz w:val="18"/>
                <w:szCs w:val="18"/>
              </w:rPr>
              <w:t> Total</w:t>
            </w:r>
          </w:p>
        </w:tc>
        <w:tc>
          <w:tcPr>
            <w:tcW w:w="434" w:type="pct"/>
            <w:tcBorders>
              <w:top w:val="nil"/>
              <w:left w:val="nil"/>
              <w:bottom w:val="single" w:sz="4" w:space="0" w:color="auto"/>
              <w:right w:val="nil"/>
            </w:tcBorders>
            <w:shd w:val="clear" w:color="000000" w:fill="F2F2F2"/>
            <w:vAlign w:val="center"/>
            <w:hideMark/>
          </w:tcPr>
          <w:p w:rsidR="00403BC5" w:rsidRPr="00C67C91" w:rsidRDefault="00403BC5" w:rsidP="00403BC5">
            <w:pPr>
              <w:spacing w:after="0" w:line="240" w:lineRule="auto"/>
              <w:rPr>
                <w:rFonts w:ascii="Arial" w:hAnsi="Arial" w:cs="Arial"/>
                <w:b/>
                <w:bCs/>
                <w:sz w:val="18"/>
                <w:szCs w:val="18"/>
              </w:rPr>
            </w:pPr>
            <w:r w:rsidRPr="00C67C91">
              <w:rPr>
                <w:rFonts w:ascii="Arial" w:hAnsi="Arial" w:cs="Arial"/>
                <w:b/>
                <w:bCs/>
                <w:sz w:val="18"/>
                <w:szCs w:val="18"/>
              </w:rPr>
              <w:t> </w:t>
            </w:r>
          </w:p>
        </w:tc>
        <w:tc>
          <w:tcPr>
            <w:tcW w:w="1027" w:type="pct"/>
            <w:tcBorders>
              <w:top w:val="nil"/>
              <w:left w:val="nil"/>
              <w:bottom w:val="single" w:sz="4" w:space="0" w:color="auto"/>
              <w:right w:val="nil"/>
            </w:tcBorders>
            <w:shd w:val="clear" w:color="000000" w:fill="F2F2F2"/>
            <w:vAlign w:val="center"/>
            <w:hideMark/>
          </w:tcPr>
          <w:p w:rsidR="00403BC5" w:rsidRPr="00C67C91" w:rsidRDefault="00403BC5" w:rsidP="00403BC5">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519.570,24</w:t>
            </w:r>
          </w:p>
        </w:tc>
        <w:tc>
          <w:tcPr>
            <w:tcW w:w="898" w:type="pct"/>
            <w:tcBorders>
              <w:top w:val="nil"/>
              <w:left w:val="nil"/>
              <w:bottom w:val="single" w:sz="4" w:space="0" w:color="auto"/>
              <w:right w:val="nil"/>
            </w:tcBorders>
            <w:shd w:val="clear" w:color="000000" w:fill="F2F2F2"/>
            <w:vAlign w:val="center"/>
            <w:hideMark/>
          </w:tcPr>
          <w:p w:rsidR="00403BC5" w:rsidRPr="00C67C91" w:rsidRDefault="00403BC5" w:rsidP="00403BC5">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 </w:t>
            </w:r>
          </w:p>
        </w:tc>
        <w:tc>
          <w:tcPr>
            <w:tcW w:w="897" w:type="pct"/>
            <w:tcBorders>
              <w:top w:val="nil"/>
              <w:left w:val="nil"/>
              <w:bottom w:val="single" w:sz="4" w:space="0" w:color="auto"/>
              <w:right w:val="nil"/>
            </w:tcBorders>
            <w:shd w:val="clear" w:color="000000" w:fill="F2F2F2"/>
            <w:vAlign w:val="center"/>
            <w:hideMark/>
          </w:tcPr>
          <w:p w:rsidR="00403BC5" w:rsidRPr="00C67C91" w:rsidRDefault="00403BC5" w:rsidP="00403BC5">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519.570,24</w:t>
            </w:r>
          </w:p>
        </w:tc>
      </w:tr>
    </w:tbl>
    <w:p w:rsidR="00336822" w:rsidRPr="00203EFC" w:rsidRDefault="00336822" w:rsidP="00C5477A">
      <w:pPr>
        <w:pStyle w:val="CM20"/>
        <w:spacing w:before="480" w:after="0"/>
        <w:ind w:left="284" w:hanging="284"/>
        <w:jc w:val="both"/>
        <w:rPr>
          <w:rFonts w:ascii="Arial" w:hAnsi="Arial" w:cs="Arial"/>
          <w:b/>
          <w:bCs/>
          <w:sz w:val="20"/>
          <w:szCs w:val="20"/>
        </w:rPr>
      </w:pPr>
      <w:r w:rsidRPr="00011634">
        <w:rPr>
          <w:rFonts w:ascii="Arial" w:hAnsi="Arial" w:cs="Arial"/>
          <w:b/>
          <w:bCs/>
          <w:sz w:val="20"/>
          <w:szCs w:val="20"/>
        </w:rPr>
        <w:t>9.-</w:t>
      </w:r>
      <w:r w:rsidR="00203EFC" w:rsidRPr="00011634">
        <w:rPr>
          <w:rFonts w:ascii="Arial" w:hAnsi="Arial" w:cs="Arial"/>
          <w:b/>
          <w:bCs/>
          <w:sz w:val="20"/>
          <w:szCs w:val="20"/>
        </w:rPr>
        <w:t xml:space="preserve"> </w:t>
      </w:r>
      <w:r w:rsidRPr="00011634">
        <w:rPr>
          <w:rFonts w:ascii="Arial" w:hAnsi="Arial" w:cs="Arial"/>
          <w:b/>
          <w:bCs/>
          <w:sz w:val="20"/>
          <w:szCs w:val="20"/>
        </w:rPr>
        <w:t>OPERACIONES</w:t>
      </w:r>
      <w:r w:rsidRPr="00C67C91">
        <w:rPr>
          <w:rFonts w:ascii="Arial" w:hAnsi="Arial" w:cs="Arial"/>
          <w:b/>
          <w:bCs/>
          <w:sz w:val="20"/>
          <w:szCs w:val="20"/>
        </w:rPr>
        <w:t xml:space="preserve"> CON PARTES VINCULADAS </w:t>
      </w:r>
    </w:p>
    <w:p w:rsidR="00090E54" w:rsidRPr="0020061C" w:rsidRDefault="00090E54" w:rsidP="0020061C">
      <w:pPr>
        <w:keepNext/>
        <w:keepLines/>
        <w:spacing w:before="120" w:after="0" w:line="260" w:lineRule="exact"/>
        <w:jc w:val="both"/>
        <w:rPr>
          <w:rFonts w:ascii="Arial" w:hAnsi="Arial" w:cs="Arial"/>
          <w:b/>
          <w:sz w:val="20"/>
          <w:szCs w:val="20"/>
          <w:u w:val="single"/>
        </w:rPr>
      </w:pPr>
      <w:r w:rsidRPr="0020061C">
        <w:rPr>
          <w:rFonts w:ascii="Arial" w:hAnsi="Arial" w:cs="Arial"/>
          <w:b/>
          <w:sz w:val="20"/>
          <w:szCs w:val="20"/>
          <w:u w:val="single"/>
        </w:rPr>
        <w:t>Transacciones entre parte vinculadas</w:t>
      </w:r>
    </w:p>
    <w:p w:rsidR="00247397" w:rsidRPr="00C67C91" w:rsidRDefault="00336822" w:rsidP="0020061C">
      <w:pPr>
        <w:pStyle w:val="CM2"/>
        <w:keepNext/>
        <w:keepLines/>
        <w:widowControl/>
        <w:autoSpaceDE/>
        <w:autoSpaceDN/>
        <w:adjustRightInd/>
        <w:spacing w:before="120" w:after="120" w:line="260" w:lineRule="exact"/>
        <w:jc w:val="both"/>
        <w:rPr>
          <w:rFonts w:ascii="Arial" w:hAnsi="Arial" w:cs="Arial"/>
          <w:sz w:val="20"/>
          <w:szCs w:val="20"/>
        </w:rPr>
      </w:pPr>
      <w:r w:rsidRPr="00C67C91">
        <w:rPr>
          <w:rFonts w:ascii="Arial" w:hAnsi="Arial" w:cs="Arial"/>
          <w:sz w:val="20"/>
          <w:szCs w:val="20"/>
        </w:rPr>
        <w:t>La información sobre operaciones con partes vinculadas de la Sociedad se recoge en los siguientes cuadros:</w:t>
      </w:r>
    </w:p>
    <w:tbl>
      <w:tblPr>
        <w:tblW w:w="5000" w:type="pct"/>
        <w:tblCellMar>
          <w:left w:w="70" w:type="dxa"/>
          <w:right w:w="70" w:type="dxa"/>
        </w:tblCellMar>
        <w:tblLook w:val="04A0"/>
      </w:tblPr>
      <w:tblGrid>
        <w:gridCol w:w="2861"/>
        <w:gridCol w:w="1349"/>
        <w:gridCol w:w="1546"/>
        <w:gridCol w:w="1347"/>
        <w:gridCol w:w="1542"/>
      </w:tblGrid>
      <w:tr w:rsidR="00090E54" w:rsidRPr="003C2A35" w:rsidTr="003C2A35">
        <w:trPr>
          <w:trHeight w:val="113"/>
        </w:trPr>
        <w:tc>
          <w:tcPr>
            <w:tcW w:w="1655" w:type="pct"/>
            <w:vMerge w:val="restart"/>
            <w:tcBorders>
              <w:top w:val="nil"/>
              <w:left w:val="nil"/>
              <w:bottom w:val="single" w:sz="4" w:space="0" w:color="000000"/>
              <w:right w:val="nil"/>
            </w:tcBorders>
            <w:shd w:val="clear" w:color="000000" w:fill="D9D9D9"/>
            <w:noWrap/>
            <w:vAlign w:val="bottom"/>
            <w:hideMark/>
          </w:tcPr>
          <w:p w:rsidR="00090E54" w:rsidRPr="003C2A35" w:rsidRDefault="00090E54" w:rsidP="003C2A35">
            <w:pPr>
              <w:keepNext/>
              <w:keepLines/>
              <w:widowControl w:val="0"/>
              <w:spacing w:after="0" w:line="240" w:lineRule="auto"/>
              <w:jc w:val="center"/>
              <w:rPr>
                <w:rFonts w:ascii="Arial" w:hAnsi="Arial" w:cs="Arial"/>
                <w:b/>
                <w:bCs/>
                <w:color w:val="000000"/>
                <w:sz w:val="18"/>
                <w:szCs w:val="18"/>
              </w:rPr>
            </w:pPr>
            <w:r w:rsidRPr="003C2A35">
              <w:rPr>
                <w:rFonts w:ascii="Arial" w:hAnsi="Arial" w:cs="Arial"/>
                <w:b/>
                <w:bCs/>
                <w:color w:val="000000"/>
                <w:sz w:val="18"/>
                <w:szCs w:val="18"/>
              </w:rPr>
              <w:t>Nombre Empresa</w:t>
            </w:r>
          </w:p>
        </w:tc>
        <w:tc>
          <w:tcPr>
            <w:tcW w:w="1674" w:type="pct"/>
            <w:gridSpan w:val="2"/>
            <w:tcBorders>
              <w:top w:val="nil"/>
              <w:left w:val="nil"/>
              <w:bottom w:val="nil"/>
              <w:right w:val="nil"/>
            </w:tcBorders>
            <w:shd w:val="clear" w:color="000000" w:fill="D9D9D9"/>
            <w:vAlign w:val="bottom"/>
            <w:hideMark/>
          </w:tcPr>
          <w:p w:rsidR="00090E54" w:rsidRPr="003C2A35" w:rsidRDefault="00090E54" w:rsidP="003C2A35">
            <w:pPr>
              <w:keepNext/>
              <w:keepLines/>
              <w:widowControl w:val="0"/>
              <w:spacing w:after="0" w:line="240" w:lineRule="auto"/>
              <w:jc w:val="center"/>
              <w:rPr>
                <w:rFonts w:ascii="Arial" w:hAnsi="Arial" w:cs="Arial"/>
                <w:b/>
                <w:bCs/>
                <w:color w:val="000000"/>
                <w:sz w:val="18"/>
                <w:szCs w:val="18"/>
              </w:rPr>
            </w:pPr>
            <w:r w:rsidRPr="003C2A35">
              <w:rPr>
                <w:rFonts w:ascii="Arial" w:hAnsi="Arial" w:cs="Arial"/>
                <w:b/>
                <w:bCs/>
                <w:color w:val="000000"/>
                <w:sz w:val="18"/>
                <w:szCs w:val="18"/>
              </w:rPr>
              <w:t>Ejercicio 20</w:t>
            </w:r>
            <w:r w:rsidR="00042B36" w:rsidRPr="003C2A35">
              <w:rPr>
                <w:rFonts w:ascii="Arial" w:hAnsi="Arial" w:cs="Arial"/>
                <w:b/>
                <w:bCs/>
                <w:color w:val="000000"/>
                <w:sz w:val="18"/>
                <w:szCs w:val="18"/>
              </w:rPr>
              <w:t>20</w:t>
            </w:r>
          </w:p>
        </w:tc>
        <w:tc>
          <w:tcPr>
            <w:tcW w:w="1671" w:type="pct"/>
            <w:gridSpan w:val="2"/>
            <w:tcBorders>
              <w:top w:val="nil"/>
              <w:left w:val="nil"/>
              <w:bottom w:val="nil"/>
              <w:right w:val="nil"/>
            </w:tcBorders>
            <w:shd w:val="clear" w:color="000000" w:fill="D9D9D9"/>
            <w:vAlign w:val="bottom"/>
            <w:hideMark/>
          </w:tcPr>
          <w:p w:rsidR="00090E54" w:rsidRPr="003C2A35" w:rsidRDefault="00090E54" w:rsidP="003C2A35">
            <w:pPr>
              <w:keepNext/>
              <w:keepLines/>
              <w:widowControl w:val="0"/>
              <w:spacing w:after="0" w:line="240" w:lineRule="auto"/>
              <w:jc w:val="center"/>
              <w:rPr>
                <w:rFonts w:ascii="Arial" w:hAnsi="Arial" w:cs="Arial"/>
                <w:b/>
                <w:bCs/>
                <w:color w:val="000000"/>
                <w:sz w:val="18"/>
                <w:szCs w:val="18"/>
              </w:rPr>
            </w:pPr>
            <w:r w:rsidRPr="003C2A35">
              <w:rPr>
                <w:rFonts w:ascii="Arial" w:hAnsi="Arial" w:cs="Arial"/>
                <w:b/>
                <w:bCs/>
                <w:color w:val="000000"/>
                <w:sz w:val="18"/>
                <w:szCs w:val="18"/>
              </w:rPr>
              <w:t>Ejercicio 201</w:t>
            </w:r>
            <w:r w:rsidR="00042B36" w:rsidRPr="003C2A35">
              <w:rPr>
                <w:rFonts w:ascii="Arial" w:hAnsi="Arial" w:cs="Arial"/>
                <w:b/>
                <w:bCs/>
                <w:color w:val="000000"/>
                <w:sz w:val="18"/>
                <w:szCs w:val="18"/>
              </w:rPr>
              <w:t>9</w:t>
            </w:r>
          </w:p>
        </w:tc>
      </w:tr>
      <w:tr w:rsidR="00090E54" w:rsidRPr="003C2A35" w:rsidTr="003C2A35">
        <w:trPr>
          <w:trHeight w:val="113"/>
        </w:trPr>
        <w:tc>
          <w:tcPr>
            <w:tcW w:w="1655" w:type="pct"/>
            <w:vMerge/>
            <w:tcBorders>
              <w:top w:val="nil"/>
              <w:left w:val="nil"/>
              <w:bottom w:val="single" w:sz="4" w:space="0" w:color="000000"/>
              <w:right w:val="nil"/>
            </w:tcBorders>
            <w:vAlign w:val="bottom"/>
            <w:hideMark/>
          </w:tcPr>
          <w:p w:rsidR="00090E54" w:rsidRPr="003C2A35" w:rsidRDefault="00090E54" w:rsidP="003C2A35">
            <w:pPr>
              <w:keepNext/>
              <w:keepLines/>
              <w:widowControl w:val="0"/>
              <w:spacing w:after="0" w:line="240" w:lineRule="auto"/>
              <w:jc w:val="center"/>
              <w:rPr>
                <w:rFonts w:ascii="Arial" w:hAnsi="Arial" w:cs="Arial"/>
                <w:b/>
                <w:bCs/>
                <w:color w:val="000000"/>
                <w:sz w:val="18"/>
                <w:szCs w:val="18"/>
              </w:rPr>
            </w:pPr>
          </w:p>
        </w:tc>
        <w:tc>
          <w:tcPr>
            <w:tcW w:w="780" w:type="pct"/>
            <w:tcBorders>
              <w:top w:val="nil"/>
              <w:left w:val="nil"/>
              <w:bottom w:val="single" w:sz="4" w:space="0" w:color="auto"/>
              <w:right w:val="nil"/>
            </w:tcBorders>
            <w:shd w:val="clear" w:color="000000" w:fill="D9D9D9"/>
            <w:vAlign w:val="bottom"/>
            <w:hideMark/>
          </w:tcPr>
          <w:p w:rsidR="00090E54" w:rsidRPr="003C2A35" w:rsidRDefault="00090E54" w:rsidP="003C2A35">
            <w:pPr>
              <w:keepNext/>
              <w:keepLines/>
              <w:widowControl w:val="0"/>
              <w:spacing w:after="0" w:line="240" w:lineRule="auto"/>
              <w:jc w:val="center"/>
              <w:rPr>
                <w:rFonts w:ascii="Arial" w:hAnsi="Arial" w:cs="Arial"/>
                <w:b/>
                <w:bCs/>
                <w:color w:val="000000"/>
                <w:sz w:val="18"/>
                <w:szCs w:val="18"/>
              </w:rPr>
            </w:pPr>
            <w:r w:rsidRPr="003C2A35">
              <w:rPr>
                <w:rFonts w:ascii="Arial" w:hAnsi="Arial" w:cs="Arial"/>
                <w:b/>
                <w:bCs/>
                <w:color w:val="000000"/>
                <w:sz w:val="18"/>
                <w:szCs w:val="18"/>
              </w:rPr>
              <w:t>Compras</w:t>
            </w:r>
          </w:p>
        </w:tc>
        <w:tc>
          <w:tcPr>
            <w:tcW w:w="894" w:type="pct"/>
            <w:tcBorders>
              <w:top w:val="nil"/>
              <w:left w:val="nil"/>
              <w:bottom w:val="single" w:sz="4" w:space="0" w:color="auto"/>
              <w:right w:val="nil"/>
            </w:tcBorders>
            <w:shd w:val="clear" w:color="000000" w:fill="D9D9D9"/>
            <w:vAlign w:val="bottom"/>
            <w:hideMark/>
          </w:tcPr>
          <w:p w:rsidR="00090E54" w:rsidRPr="003C2A35" w:rsidRDefault="00090E54" w:rsidP="003C2A35">
            <w:pPr>
              <w:keepNext/>
              <w:keepLines/>
              <w:widowControl w:val="0"/>
              <w:spacing w:after="0" w:line="240" w:lineRule="auto"/>
              <w:jc w:val="center"/>
              <w:rPr>
                <w:rFonts w:ascii="Arial" w:hAnsi="Arial" w:cs="Arial"/>
                <w:b/>
                <w:bCs/>
                <w:color w:val="000000"/>
                <w:sz w:val="18"/>
                <w:szCs w:val="18"/>
              </w:rPr>
            </w:pPr>
            <w:r w:rsidRPr="003C2A35">
              <w:rPr>
                <w:rFonts w:ascii="Arial" w:hAnsi="Arial" w:cs="Arial"/>
                <w:b/>
                <w:bCs/>
                <w:color w:val="000000"/>
                <w:sz w:val="18"/>
                <w:szCs w:val="18"/>
              </w:rPr>
              <w:t>Ventas</w:t>
            </w:r>
          </w:p>
        </w:tc>
        <w:tc>
          <w:tcPr>
            <w:tcW w:w="779" w:type="pct"/>
            <w:tcBorders>
              <w:top w:val="nil"/>
              <w:left w:val="nil"/>
              <w:bottom w:val="single" w:sz="4" w:space="0" w:color="auto"/>
              <w:right w:val="nil"/>
            </w:tcBorders>
            <w:shd w:val="clear" w:color="000000" w:fill="D9D9D9"/>
            <w:vAlign w:val="bottom"/>
            <w:hideMark/>
          </w:tcPr>
          <w:p w:rsidR="00090E54" w:rsidRPr="003C2A35" w:rsidRDefault="00090E54" w:rsidP="003C2A35">
            <w:pPr>
              <w:keepNext/>
              <w:keepLines/>
              <w:widowControl w:val="0"/>
              <w:spacing w:after="0" w:line="240" w:lineRule="auto"/>
              <w:jc w:val="center"/>
              <w:rPr>
                <w:rFonts w:ascii="Arial" w:hAnsi="Arial" w:cs="Arial"/>
                <w:b/>
                <w:bCs/>
                <w:color w:val="000000"/>
                <w:sz w:val="18"/>
                <w:szCs w:val="18"/>
              </w:rPr>
            </w:pPr>
            <w:r w:rsidRPr="003C2A35">
              <w:rPr>
                <w:rFonts w:ascii="Arial" w:hAnsi="Arial" w:cs="Arial"/>
                <w:b/>
                <w:bCs/>
                <w:color w:val="000000"/>
                <w:sz w:val="18"/>
                <w:szCs w:val="18"/>
              </w:rPr>
              <w:t>Compras</w:t>
            </w:r>
          </w:p>
        </w:tc>
        <w:tc>
          <w:tcPr>
            <w:tcW w:w="892" w:type="pct"/>
            <w:tcBorders>
              <w:top w:val="nil"/>
              <w:left w:val="nil"/>
              <w:bottom w:val="single" w:sz="4" w:space="0" w:color="auto"/>
              <w:right w:val="nil"/>
            </w:tcBorders>
            <w:shd w:val="clear" w:color="000000" w:fill="D9D9D9"/>
            <w:vAlign w:val="bottom"/>
            <w:hideMark/>
          </w:tcPr>
          <w:p w:rsidR="00090E54" w:rsidRPr="003C2A35" w:rsidRDefault="00090E54" w:rsidP="003C2A35">
            <w:pPr>
              <w:keepNext/>
              <w:keepLines/>
              <w:widowControl w:val="0"/>
              <w:spacing w:after="0" w:line="240" w:lineRule="auto"/>
              <w:jc w:val="center"/>
              <w:rPr>
                <w:rFonts w:ascii="Arial" w:hAnsi="Arial" w:cs="Arial"/>
                <w:b/>
                <w:bCs/>
                <w:color w:val="000000"/>
                <w:sz w:val="18"/>
                <w:szCs w:val="18"/>
              </w:rPr>
            </w:pPr>
            <w:r w:rsidRPr="003C2A35">
              <w:rPr>
                <w:rFonts w:ascii="Arial" w:hAnsi="Arial" w:cs="Arial"/>
                <w:b/>
                <w:bCs/>
                <w:color w:val="000000"/>
                <w:sz w:val="18"/>
                <w:szCs w:val="18"/>
              </w:rPr>
              <w:t>Ventas</w:t>
            </w:r>
          </w:p>
        </w:tc>
      </w:tr>
      <w:tr w:rsidR="00FD6B58" w:rsidRPr="003C2A35" w:rsidTr="003C2A35">
        <w:trPr>
          <w:trHeight w:val="227"/>
        </w:trPr>
        <w:tc>
          <w:tcPr>
            <w:tcW w:w="1655" w:type="pct"/>
            <w:tcBorders>
              <w:top w:val="nil"/>
              <w:left w:val="nil"/>
              <w:bottom w:val="nil"/>
              <w:right w:val="nil"/>
            </w:tcBorders>
            <w:noWrap/>
            <w:vAlign w:val="center"/>
            <w:hideMark/>
          </w:tcPr>
          <w:p w:rsidR="00FD6B58" w:rsidRPr="003C2A35" w:rsidRDefault="00FD6B58" w:rsidP="003C2A35">
            <w:pPr>
              <w:keepNext/>
              <w:keepLines/>
              <w:widowControl w:val="0"/>
              <w:spacing w:after="0" w:line="240" w:lineRule="auto"/>
              <w:rPr>
                <w:rFonts w:ascii="Arial" w:hAnsi="Arial" w:cs="Arial"/>
                <w:b/>
                <w:color w:val="000000"/>
                <w:sz w:val="18"/>
                <w:szCs w:val="18"/>
              </w:rPr>
            </w:pPr>
            <w:r w:rsidRPr="003C2A35">
              <w:rPr>
                <w:rFonts w:ascii="Arial" w:hAnsi="Arial" w:cs="Arial"/>
                <w:b/>
                <w:color w:val="000000"/>
                <w:sz w:val="18"/>
                <w:szCs w:val="18"/>
              </w:rPr>
              <w:t xml:space="preserve">Sociedad Dominante: </w:t>
            </w:r>
          </w:p>
          <w:p w:rsidR="00FD6B58" w:rsidRPr="003C2A35" w:rsidRDefault="00FD6B58" w:rsidP="003C2A35">
            <w:pPr>
              <w:keepNext/>
              <w:keepLines/>
              <w:widowControl w:val="0"/>
              <w:spacing w:after="0" w:line="240" w:lineRule="auto"/>
              <w:rPr>
                <w:rFonts w:ascii="Arial" w:hAnsi="Arial" w:cs="Arial"/>
                <w:color w:val="000000"/>
                <w:sz w:val="18"/>
                <w:szCs w:val="18"/>
              </w:rPr>
            </w:pPr>
            <w:r w:rsidRPr="003C2A35">
              <w:rPr>
                <w:rFonts w:ascii="Arial" w:hAnsi="Arial" w:cs="Arial"/>
                <w:color w:val="000000"/>
                <w:sz w:val="18"/>
                <w:szCs w:val="18"/>
              </w:rPr>
              <w:t>I.T.E.R</w:t>
            </w:r>
          </w:p>
        </w:tc>
        <w:tc>
          <w:tcPr>
            <w:tcW w:w="780" w:type="pct"/>
            <w:tcBorders>
              <w:top w:val="nil"/>
              <w:left w:val="nil"/>
              <w:bottom w:val="nil"/>
              <w:right w:val="nil"/>
            </w:tcBorders>
            <w:vAlign w:val="bottom"/>
            <w:hideMark/>
          </w:tcPr>
          <w:p w:rsidR="00FD6B58" w:rsidRPr="003C2A35" w:rsidRDefault="00F053D9" w:rsidP="003C2A35">
            <w:pPr>
              <w:keepNext/>
              <w:keepLines/>
              <w:widowControl w:val="0"/>
              <w:spacing w:after="0" w:line="240" w:lineRule="auto"/>
              <w:jc w:val="right"/>
              <w:rPr>
                <w:rFonts w:ascii="Arial" w:hAnsi="Arial" w:cs="Arial"/>
                <w:color w:val="000000"/>
                <w:sz w:val="18"/>
                <w:szCs w:val="18"/>
              </w:rPr>
            </w:pPr>
            <w:r>
              <w:rPr>
                <w:rFonts w:ascii="Arial" w:hAnsi="Arial" w:cs="Arial"/>
                <w:color w:val="000000"/>
                <w:sz w:val="18"/>
                <w:szCs w:val="18"/>
              </w:rPr>
              <w:t>192.670,43</w:t>
            </w:r>
          </w:p>
        </w:tc>
        <w:tc>
          <w:tcPr>
            <w:tcW w:w="894" w:type="pct"/>
            <w:tcBorders>
              <w:top w:val="nil"/>
              <w:left w:val="nil"/>
              <w:bottom w:val="nil"/>
              <w:right w:val="nil"/>
            </w:tcBorders>
            <w:noWrap/>
            <w:vAlign w:val="bottom"/>
            <w:hideMark/>
          </w:tcPr>
          <w:p w:rsidR="00FD6B58" w:rsidRPr="003C2A35" w:rsidRDefault="00FD6B58" w:rsidP="003C2A35">
            <w:pPr>
              <w:keepNext/>
              <w:keepLines/>
              <w:widowControl w:val="0"/>
              <w:spacing w:after="0" w:line="240" w:lineRule="auto"/>
              <w:jc w:val="right"/>
              <w:rPr>
                <w:rFonts w:ascii="Arial" w:hAnsi="Arial" w:cs="Arial"/>
                <w:color w:val="000000"/>
                <w:sz w:val="18"/>
                <w:szCs w:val="18"/>
              </w:rPr>
            </w:pPr>
            <w:r w:rsidRPr="003C2A35">
              <w:rPr>
                <w:rFonts w:ascii="Arial" w:hAnsi="Arial" w:cs="Arial"/>
                <w:color w:val="000000"/>
                <w:sz w:val="18"/>
                <w:szCs w:val="18"/>
              </w:rPr>
              <w:t>-</w:t>
            </w:r>
          </w:p>
        </w:tc>
        <w:tc>
          <w:tcPr>
            <w:tcW w:w="779" w:type="pct"/>
            <w:tcBorders>
              <w:top w:val="nil"/>
              <w:left w:val="nil"/>
              <w:bottom w:val="nil"/>
              <w:right w:val="nil"/>
            </w:tcBorders>
            <w:vAlign w:val="bottom"/>
            <w:hideMark/>
          </w:tcPr>
          <w:p w:rsidR="00FD6B58" w:rsidRPr="003C2A35" w:rsidRDefault="00FD6B58" w:rsidP="003C2A35">
            <w:pPr>
              <w:keepNext/>
              <w:keepLines/>
              <w:widowControl w:val="0"/>
              <w:spacing w:after="0" w:line="240" w:lineRule="auto"/>
              <w:jc w:val="right"/>
              <w:rPr>
                <w:rFonts w:ascii="Arial" w:hAnsi="Arial" w:cs="Arial"/>
                <w:color w:val="000000"/>
                <w:sz w:val="18"/>
                <w:szCs w:val="18"/>
              </w:rPr>
            </w:pPr>
            <w:r w:rsidRPr="003C2A35">
              <w:rPr>
                <w:rFonts w:ascii="Arial" w:hAnsi="Arial" w:cs="Arial"/>
                <w:color w:val="000000"/>
                <w:sz w:val="18"/>
                <w:szCs w:val="18"/>
              </w:rPr>
              <w:t>187.025,04</w:t>
            </w:r>
          </w:p>
        </w:tc>
        <w:tc>
          <w:tcPr>
            <w:tcW w:w="892" w:type="pct"/>
            <w:tcBorders>
              <w:top w:val="nil"/>
              <w:left w:val="nil"/>
              <w:bottom w:val="nil"/>
              <w:right w:val="nil"/>
            </w:tcBorders>
            <w:noWrap/>
            <w:vAlign w:val="bottom"/>
            <w:hideMark/>
          </w:tcPr>
          <w:p w:rsidR="00FD6B58" w:rsidRPr="003C2A35" w:rsidRDefault="00FD6B58" w:rsidP="003C2A35">
            <w:pPr>
              <w:keepNext/>
              <w:keepLines/>
              <w:widowControl w:val="0"/>
              <w:spacing w:after="0" w:line="240" w:lineRule="auto"/>
              <w:jc w:val="right"/>
              <w:rPr>
                <w:rFonts w:ascii="Arial" w:hAnsi="Arial" w:cs="Arial"/>
                <w:color w:val="000000"/>
                <w:sz w:val="18"/>
                <w:szCs w:val="18"/>
              </w:rPr>
            </w:pPr>
            <w:r w:rsidRPr="003C2A35">
              <w:rPr>
                <w:rFonts w:ascii="Arial" w:hAnsi="Arial" w:cs="Arial"/>
                <w:color w:val="000000"/>
                <w:sz w:val="18"/>
                <w:szCs w:val="18"/>
              </w:rPr>
              <w:t>-</w:t>
            </w:r>
          </w:p>
        </w:tc>
      </w:tr>
      <w:tr w:rsidR="00FD6B58" w:rsidRPr="003C2A35" w:rsidTr="003C2A35">
        <w:trPr>
          <w:trHeight w:val="227"/>
        </w:trPr>
        <w:tc>
          <w:tcPr>
            <w:tcW w:w="1655" w:type="pct"/>
            <w:tcBorders>
              <w:top w:val="nil"/>
              <w:left w:val="nil"/>
              <w:bottom w:val="nil"/>
              <w:right w:val="nil"/>
            </w:tcBorders>
            <w:noWrap/>
            <w:vAlign w:val="center"/>
            <w:hideMark/>
          </w:tcPr>
          <w:p w:rsidR="00FD6B58" w:rsidRPr="003C2A35" w:rsidRDefault="00FD6B58" w:rsidP="003C2A35">
            <w:pPr>
              <w:keepNext/>
              <w:keepLines/>
              <w:widowControl w:val="0"/>
              <w:spacing w:after="0" w:line="240" w:lineRule="auto"/>
              <w:rPr>
                <w:rFonts w:ascii="Arial" w:hAnsi="Arial" w:cs="Arial"/>
                <w:b/>
                <w:color w:val="000000"/>
                <w:sz w:val="18"/>
                <w:szCs w:val="18"/>
              </w:rPr>
            </w:pPr>
            <w:r w:rsidRPr="003C2A35">
              <w:rPr>
                <w:rFonts w:ascii="Arial" w:hAnsi="Arial" w:cs="Arial"/>
                <w:b/>
                <w:color w:val="000000"/>
                <w:sz w:val="18"/>
                <w:szCs w:val="18"/>
              </w:rPr>
              <w:t>Otras empresas del grupo:</w:t>
            </w:r>
          </w:p>
          <w:p w:rsidR="00FD6B58" w:rsidRPr="008F331C" w:rsidRDefault="00FD6B58" w:rsidP="003C2A35">
            <w:pPr>
              <w:keepNext/>
              <w:keepLines/>
              <w:widowControl w:val="0"/>
              <w:spacing w:after="0" w:line="240" w:lineRule="auto"/>
              <w:rPr>
                <w:rFonts w:ascii="Arial" w:hAnsi="Arial" w:cs="Arial"/>
                <w:color w:val="000000"/>
                <w:sz w:val="18"/>
                <w:szCs w:val="18"/>
              </w:rPr>
            </w:pPr>
            <w:r w:rsidRPr="008F331C">
              <w:rPr>
                <w:rFonts w:ascii="Arial" w:hAnsi="Arial" w:cs="Arial"/>
                <w:color w:val="000000"/>
                <w:sz w:val="18"/>
                <w:szCs w:val="18"/>
              </w:rPr>
              <w:t xml:space="preserve">Canarias </w:t>
            </w:r>
            <w:proofErr w:type="spellStart"/>
            <w:r w:rsidRPr="008F331C">
              <w:rPr>
                <w:rFonts w:ascii="Arial" w:hAnsi="Arial" w:cs="Arial"/>
                <w:color w:val="000000"/>
                <w:sz w:val="18"/>
                <w:szCs w:val="18"/>
              </w:rPr>
              <w:t>Submarine</w:t>
            </w:r>
            <w:proofErr w:type="spellEnd"/>
            <w:r w:rsidRPr="008F331C">
              <w:rPr>
                <w:rFonts w:ascii="Arial" w:hAnsi="Arial" w:cs="Arial"/>
                <w:color w:val="000000"/>
                <w:sz w:val="18"/>
                <w:szCs w:val="18"/>
              </w:rPr>
              <w:t xml:space="preserve"> Link, S.L.</w:t>
            </w:r>
          </w:p>
        </w:tc>
        <w:tc>
          <w:tcPr>
            <w:tcW w:w="780" w:type="pct"/>
            <w:tcBorders>
              <w:top w:val="nil"/>
              <w:left w:val="nil"/>
              <w:bottom w:val="nil"/>
              <w:right w:val="nil"/>
            </w:tcBorders>
            <w:vAlign w:val="bottom"/>
            <w:hideMark/>
          </w:tcPr>
          <w:p w:rsidR="00FD6B58" w:rsidRPr="003C2A35" w:rsidRDefault="003C2A35" w:rsidP="003C2A35">
            <w:pPr>
              <w:keepNext/>
              <w:keepLines/>
              <w:widowControl w:val="0"/>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4" w:type="pct"/>
            <w:tcBorders>
              <w:top w:val="nil"/>
              <w:left w:val="nil"/>
              <w:bottom w:val="nil"/>
              <w:right w:val="nil"/>
            </w:tcBorders>
            <w:noWrap/>
            <w:vAlign w:val="bottom"/>
            <w:hideMark/>
          </w:tcPr>
          <w:p w:rsidR="00FD6B58" w:rsidRPr="003C2A35" w:rsidRDefault="00FD6B58" w:rsidP="003C2A35">
            <w:pPr>
              <w:keepNext/>
              <w:keepLines/>
              <w:widowControl w:val="0"/>
              <w:spacing w:after="0" w:line="240" w:lineRule="auto"/>
              <w:jc w:val="right"/>
              <w:rPr>
                <w:rFonts w:ascii="Arial" w:hAnsi="Arial" w:cs="Arial"/>
                <w:color w:val="000000"/>
                <w:sz w:val="18"/>
                <w:szCs w:val="18"/>
              </w:rPr>
            </w:pPr>
            <w:r w:rsidRPr="003C2A35">
              <w:rPr>
                <w:rFonts w:ascii="Arial" w:hAnsi="Arial" w:cs="Arial"/>
                <w:color w:val="000000"/>
                <w:sz w:val="18"/>
                <w:szCs w:val="18"/>
              </w:rPr>
              <w:t>1.200.000,00</w:t>
            </w:r>
          </w:p>
        </w:tc>
        <w:tc>
          <w:tcPr>
            <w:tcW w:w="779" w:type="pct"/>
            <w:tcBorders>
              <w:top w:val="nil"/>
              <w:left w:val="nil"/>
              <w:bottom w:val="nil"/>
              <w:right w:val="nil"/>
            </w:tcBorders>
            <w:vAlign w:val="bottom"/>
            <w:hideMark/>
          </w:tcPr>
          <w:p w:rsidR="00FD6B58" w:rsidRPr="003C2A35" w:rsidRDefault="00FD6B58" w:rsidP="003C2A35">
            <w:pPr>
              <w:keepNext/>
              <w:keepLines/>
              <w:widowControl w:val="0"/>
              <w:spacing w:after="0" w:line="240" w:lineRule="auto"/>
              <w:jc w:val="right"/>
              <w:rPr>
                <w:rFonts w:ascii="Arial" w:hAnsi="Arial" w:cs="Arial"/>
                <w:color w:val="000000"/>
                <w:sz w:val="18"/>
                <w:szCs w:val="18"/>
              </w:rPr>
            </w:pPr>
            <w:r w:rsidRPr="003C2A35">
              <w:rPr>
                <w:rFonts w:ascii="Arial" w:hAnsi="Arial" w:cs="Arial"/>
                <w:color w:val="000000"/>
                <w:sz w:val="18"/>
                <w:szCs w:val="18"/>
              </w:rPr>
              <w:t>-</w:t>
            </w:r>
          </w:p>
        </w:tc>
        <w:tc>
          <w:tcPr>
            <w:tcW w:w="892" w:type="pct"/>
            <w:tcBorders>
              <w:top w:val="nil"/>
              <w:left w:val="nil"/>
              <w:bottom w:val="nil"/>
              <w:right w:val="nil"/>
            </w:tcBorders>
            <w:noWrap/>
            <w:vAlign w:val="bottom"/>
            <w:hideMark/>
          </w:tcPr>
          <w:p w:rsidR="00FD6B58" w:rsidRPr="003C2A35" w:rsidRDefault="00FD6B58" w:rsidP="003C2A35">
            <w:pPr>
              <w:keepNext/>
              <w:keepLines/>
              <w:widowControl w:val="0"/>
              <w:spacing w:after="0" w:line="240" w:lineRule="auto"/>
              <w:jc w:val="right"/>
              <w:rPr>
                <w:rFonts w:ascii="Arial" w:hAnsi="Arial" w:cs="Arial"/>
                <w:color w:val="000000"/>
                <w:sz w:val="18"/>
                <w:szCs w:val="18"/>
              </w:rPr>
            </w:pPr>
            <w:r w:rsidRPr="003C2A35">
              <w:rPr>
                <w:rFonts w:ascii="Arial" w:hAnsi="Arial" w:cs="Arial"/>
                <w:color w:val="000000"/>
                <w:sz w:val="18"/>
                <w:szCs w:val="18"/>
              </w:rPr>
              <w:t>1.200.000,00</w:t>
            </w:r>
          </w:p>
        </w:tc>
      </w:tr>
      <w:tr w:rsidR="00090E54" w:rsidRPr="003C2A35" w:rsidTr="003C2A35">
        <w:trPr>
          <w:trHeight w:val="255"/>
        </w:trPr>
        <w:tc>
          <w:tcPr>
            <w:tcW w:w="1655" w:type="pct"/>
            <w:tcBorders>
              <w:top w:val="nil"/>
              <w:left w:val="nil"/>
              <w:bottom w:val="nil"/>
              <w:right w:val="nil"/>
            </w:tcBorders>
            <w:shd w:val="clear" w:color="000000" w:fill="F2F2F2"/>
            <w:noWrap/>
            <w:vAlign w:val="center"/>
            <w:hideMark/>
          </w:tcPr>
          <w:p w:rsidR="00090E54" w:rsidRPr="003C2A35" w:rsidRDefault="00090E54" w:rsidP="003C2A35">
            <w:pPr>
              <w:spacing w:after="0" w:line="240" w:lineRule="auto"/>
              <w:rPr>
                <w:rFonts w:ascii="Arial" w:hAnsi="Arial" w:cs="Arial"/>
                <w:b/>
                <w:bCs/>
                <w:color w:val="000000"/>
                <w:sz w:val="18"/>
                <w:szCs w:val="18"/>
              </w:rPr>
            </w:pPr>
            <w:r w:rsidRPr="003C2A35">
              <w:rPr>
                <w:rFonts w:ascii="Arial" w:hAnsi="Arial" w:cs="Arial"/>
                <w:b/>
                <w:bCs/>
                <w:color w:val="000000"/>
                <w:sz w:val="18"/>
                <w:szCs w:val="18"/>
              </w:rPr>
              <w:t> </w:t>
            </w:r>
          </w:p>
        </w:tc>
        <w:tc>
          <w:tcPr>
            <w:tcW w:w="780" w:type="pct"/>
            <w:tcBorders>
              <w:top w:val="nil"/>
              <w:left w:val="nil"/>
              <w:bottom w:val="nil"/>
              <w:right w:val="nil"/>
            </w:tcBorders>
            <w:shd w:val="clear" w:color="000000" w:fill="F2F2F2"/>
            <w:vAlign w:val="center"/>
            <w:hideMark/>
          </w:tcPr>
          <w:p w:rsidR="00090E54" w:rsidRPr="003C2A35" w:rsidRDefault="00090E54" w:rsidP="003C2A35">
            <w:pPr>
              <w:spacing w:after="0" w:line="240" w:lineRule="auto"/>
              <w:jc w:val="right"/>
              <w:rPr>
                <w:rFonts w:ascii="Arial" w:hAnsi="Arial" w:cs="Arial"/>
                <w:b/>
                <w:bCs/>
                <w:color w:val="000000"/>
                <w:sz w:val="18"/>
                <w:szCs w:val="18"/>
              </w:rPr>
            </w:pPr>
            <w:r w:rsidRPr="003C2A35">
              <w:rPr>
                <w:rFonts w:ascii="Arial" w:hAnsi="Arial" w:cs="Arial"/>
                <w:b/>
                <w:bCs/>
                <w:color w:val="000000"/>
                <w:sz w:val="18"/>
                <w:szCs w:val="18"/>
              </w:rPr>
              <w:t> </w:t>
            </w:r>
          </w:p>
        </w:tc>
        <w:tc>
          <w:tcPr>
            <w:tcW w:w="894" w:type="pct"/>
            <w:tcBorders>
              <w:top w:val="nil"/>
              <w:left w:val="nil"/>
              <w:bottom w:val="nil"/>
              <w:right w:val="nil"/>
            </w:tcBorders>
            <w:shd w:val="clear" w:color="000000" w:fill="F2F2F2"/>
            <w:noWrap/>
            <w:vAlign w:val="bottom"/>
            <w:hideMark/>
          </w:tcPr>
          <w:p w:rsidR="00090E54" w:rsidRPr="003C2A35" w:rsidRDefault="00090E54" w:rsidP="003C2A35">
            <w:pPr>
              <w:spacing w:after="0" w:line="240" w:lineRule="auto"/>
              <w:rPr>
                <w:rFonts w:ascii="Arial" w:hAnsi="Arial" w:cs="Arial"/>
                <w:color w:val="000000"/>
                <w:sz w:val="18"/>
                <w:szCs w:val="18"/>
              </w:rPr>
            </w:pPr>
            <w:r w:rsidRPr="003C2A35">
              <w:rPr>
                <w:rFonts w:ascii="Arial" w:hAnsi="Arial" w:cs="Arial"/>
                <w:color w:val="000000"/>
                <w:sz w:val="18"/>
                <w:szCs w:val="18"/>
              </w:rPr>
              <w:t> </w:t>
            </w:r>
          </w:p>
        </w:tc>
        <w:tc>
          <w:tcPr>
            <w:tcW w:w="779" w:type="pct"/>
            <w:tcBorders>
              <w:top w:val="nil"/>
              <w:left w:val="nil"/>
              <w:bottom w:val="nil"/>
              <w:right w:val="nil"/>
            </w:tcBorders>
            <w:shd w:val="clear" w:color="000000" w:fill="F2F2F2"/>
            <w:vAlign w:val="center"/>
            <w:hideMark/>
          </w:tcPr>
          <w:p w:rsidR="00090E54" w:rsidRPr="003C2A35" w:rsidRDefault="00090E54" w:rsidP="003C2A35">
            <w:pPr>
              <w:spacing w:after="0" w:line="240" w:lineRule="auto"/>
              <w:jc w:val="right"/>
              <w:rPr>
                <w:rFonts w:ascii="Arial" w:hAnsi="Arial" w:cs="Arial"/>
                <w:b/>
                <w:bCs/>
                <w:color w:val="000000"/>
                <w:sz w:val="18"/>
                <w:szCs w:val="18"/>
              </w:rPr>
            </w:pPr>
            <w:r w:rsidRPr="003C2A35">
              <w:rPr>
                <w:rFonts w:ascii="Arial" w:hAnsi="Arial" w:cs="Arial"/>
                <w:b/>
                <w:bCs/>
                <w:color w:val="000000"/>
                <w:sz w:val="18"/>
                <w:szCs w:val="18"/>
              </w:rPr>
              <w:t> </w:t>
            </w:r>
          </w:p>
        </w:tc>
        <w:tc>
          <w:tcPr>
            <w:tcW w:w="892" w:type="pct"/>
            <w:tcBorders>
              <w:top w:val="nil"/>
              <w:left w:val="nil"/>
              <w:bottom w:val="nil"/>
              <w:right w:val="nil"/>
            </w:tcBorders>
            <w:shd w:val="clear" w:color="000000" w:fill="F2F2F2"/>
            <w:noWrap/>
            <w:vAlign w:val="bottom"/>
            <w:hideMark/>
          </w:tcPr>
          <w:p w:rsidR="00090E54" w:rsidRPr="003C2A35" w:rsidRDefault="00090E54" w:rsidP="003C2A35">
            <w:pPr>
              <w:spacing w:after="0" w:line="240" w:lineRule="auto"/>
              <w:rPr>
                <w:rFonts w:ascii="Arial" w:hAnsi="Arial" w:cs="Arial"/>
                <w:color w:val="000000"/>
                <w:sz w:val="18"/>
                <w:szCs w:val="18"/>
              </w:rPr>
            </w:pPr>
            <w:r w:rsidRPr="003C2A35">
              <w:rPr>
                <w:rFonts w:ascii="Arial" w:hAnsi="Arial" w:cs="Arial"/>
                <w:color w:val="000000"/>
                <w:sz w:val="18"/>
                <w:szCs w:val="18"/>
              </w:rPr>
              <w:t> </w:t>
            </w:r>
          </w:p>
        </w:tc>
      </w:tr>
    </w:tbl>
    <w:p w:rsidR="00011634" w:rsidRPr="009F2BFB" w:rsidRDefault="00336822" w:rsidP="00656EDA">
      <w:pPr>
        <w:pStyle w:val="CM2"/>
        <w:widowControl/>
        <w:autoSpaceDE/>
        <w:autoSpaceDN/>
        <w:adjustRightInd/>
        <w:spacing w:before="120" w:after="120" w:line="260" w:lineRule="exact"/>
        <w:jc w:val="both"/>
        <w:rPr>
          <w:rFonts w:ascii="Arial" w:hAnsi="Arial" w:cs="Arial"/>
          <w:sz w:val="20"/>
          <w:szCs w:val="20"/>
          <w:highlight w:val="cyan"/>
        </w:rPr>
      </w:pPr>
      <w:r w:rsidRPr="00C67C91">
        <w:rPr>
          <w:rFonts w:ascii="Arial" w:hAnsi="Arial" w:cs="Arial"/>
          <w:sz w:val="20"/>
          <w:szCs w:val="20"/>
        </w:rPr>
        <w:t xml:space="preserve">Los servicios recibidos </w:t>
      </w:r>
      <w:r w:rsidR="00A20D7F" w:rsidRPr="00C67C91">
        <w:rPr>
          <w:rFonts w:ascii="Arial" w:hAnsi="Arial" w:cs="Arial"/>
          <w:sz w:val="20"/>
          <w:szCs w:val="20"/>
        </w:rPr>
        <w:t>en el ejercicio 20</w:t>
      </w:r>
      <w:r w:rsidR="00F463E6" w:rsidRPr="00C67C91">
        <w:rPr>
          <w:rFonts w:ascii="Arial" w:hAnsi="Arial" w:cs="Arial"/>
          <w:sz w:val="20"/>
          <w:szCs w:val="20"/>
        </w:rPr>
        <w:t>20</w:t>
      </w:r>
      <w:r w:rsidR="00A20D7F" w:rsidRPr="00C67C91">
        <w:rPr>
          <w:rFonts w:ascii="Arial" w:hAnsi="Arial" w:cs="Arial"/>
          <w:sz w:val="20"/>
          <w:szCs w:val="20"/>
        </w:rPr>
        <w:t xml:space="preserve"> y 201</w:t>
      </w:r>
      <w:r w:rsidR="00F463E6" w:rsidRPr="00C67C91">
        <w:rPr>
          <w:rFonts w:ascii="Arial" w:hAnsi="Arial" w:cs="Arial"/>
          <w:sz w:val="20"/>
          <w:szCs w:val="20"/>
        </w:rPr>
        <w:t>9</w:t>
      </w:r>
      <w:r w:rsidR="00A20D7F" w:rsidRPr="00C67C91">
        <w:rPr>
          <w:rFonts w:ascii="Arial" w:hAnsi="Arial" w:cs="Arial"/>
          <w:sz w:val="20"/>
          <w:szCs w:val="20"/>
        </w:rPr>
        <w:t xml:space="preserve"> por el ITER se </w:t>
      </w:r>
      <w:r w:rsidRPr="00C67C91">
        <w:rPr>
          <w:rFonts w:ascii="Arial" w:hAnsi="Arial" w:cs="Arial"/>
          <w:sz w:val="20"/>
          <w:szCs w:val="20"/>
        </w:rPr>
        <w:t xml:space="preserve">corresponden al arrendamiento de </w:t>
      </w:r>
      <w:r w:rsidRPr="0071163B">
        <w:rPr>
          <w:rFonts w:ascii="Arial" w:hAnsi="Arial" w:cs="Arial"/>
          <w:sz w:val="20"/>
          <w:szCs w:val="20"/>
        </w:rPr>
        <w:t xml:space="preserve">espacio técnico en el CDP propiedad de las empresas del grupo. </w:t>
      </w:r>
      <w:r w:rsidR="00011634" w:rsidRPr="0071163B">
        <w:rPr>
          <w:rFonts w:ascii="Arial" w:hAnsi="Arial" w:cs="Arial"/>
          <w:sz w:val="20"/>
          <w:szCs w:val="20"/>
        </w:rPr>
        <w:t>Asimismo, durante el ejercicio 2020 la Sociedad ha contado con los servicios prestados por el ITER de administración, contabilidad, asesoría ju</w:t>
      </w:r>
      <w:r w:rsidR="008067FC" w:rsidRPr="0071163B">
        <w:rPr>
          <w:rFonts w:ascii="Arial" w:hAnsi="Arial" w:cs="Arial"/>
          <w:sz w:val="20"/>
          <w:szCs w:val="20"/>
        </w:rPr>
        <w:t xml:space="preserve">rídica y otros, por importe de </w:t>
      </w:r>
      <w:r w:rsidR="008912BE" w:rsidRPr="0071163B">
        <w:rPr>
          <w:rFonts w:ascii="Arial" w:hAnsi="Arial" w:cs="Arial"/>
          <w:sz w:val="20"/>
          <w:szCs w:val="20"/>
        </w:rPr>
        <w:t xml:space="preserve">5.795,39 </w:t>
      </w:r>
      <w:r w:rsidR="00011634" w:rsidRPr="0071163B">
        <w:rPr>
          <w:rFonts w:ascii="Arial" w:hAnsi="Arial" w:cs="Arial"/>
          <w:sz w:val="20"/>
          <w:szCs w:val="20"/>
        </w:rPr>
        <w:t xml:space="preserve">euros (0,00 euros en el ejercicio 2019). </w:t>
      </w:r>
    </w:p>
    <w:p w:rsidR="00336822" w:rsidRPr="00C67C91" w:rsidRDefault="00A20D7F" w:rsidP="0020061C">
      <w:pPr>
        <w:pStyle w:val="CM2"/>
        <w:widowControl/>
        <w:autoSpaceDE/>
        <w:autoSpaceDN/>
        <w:adjustRightInd/>
        <w:spacing w:before="120" w:after="120" w:line="260" w:lineRule="exact"/>
        <w:jc w:val="both"/>
        <w:rPr>
          <w:rFonts w:ascii="Arial" w:hAnsi="Arial" w:cs="Arial"/>
          <w:sz w:val="20"/>
          <w:szCs w:val="20"/>
        </w:rPr>
      </w:pPr>
      <w:r w:rsidRPr="00C67C91">
        <w:rPr>
          <w:rFonts w:ascii="Arial" w:hAnsi="Arial" w:cs="Arial"/>
          <w:sz w:val="20"/>
          <w:szCs w:val="20"/>
        </w:rPr>
        <w:t>La prestación de servicios en el ejercicio 20</w:t>
      </w:r>
      <w:r w:rsidR="00F463E6" w:rsidRPr="00C67C91">
        <w:rPr>
          <w:rFonts w:ascii="Arial" w:hAnsi="Arial" w:cs="Arial"/>
          <w:sz w:val="20"/>
          <w:szCs w:val="20"/>
        </w:rPr>
        <w:t>20</w:t>
      </w:r>
      <w:r w:rsidRPr="00C67C91">
        <w:rPr>
          <w:rFonts w:ascii="Arial" w:hAnsi="Arial" w:cs="Arial"/>
          <w:sz w:val="20"/>
          <w:szCs w:val="20"/>
        </w:rPr>
        <w:t xml:space="preserve"> y 201</w:t>
      </w:r>
      <w:r w:rsidR="00F463E6" w:rsidRPr="00C67C91">
        <w:rPr>
          <w:rFonts w:ascii="Arial" w:hAnsi="Arial" w:cs="Arial"/>
          <w:sz w:val="20"/>
          <w:szCs w:val="20"/>
        </w:rPr>
        <w:t>9</w:t>
      </w:r>
      <w:r w:rsidRPr="00C67C91">
        <w:rPr>
          <w:rFonts w:ascii="Arial" w:hAnsi="Arial" w:cs="Arial"/>
          <w:sz w:val="20"/>
          <w:szCs w:val="20"/>
        </w:rPr>
        <w:t xml:space="preserve"> se corresponden con el </w:t>
      </w:r>
      <w:r w:rsidR="00336822" w:rsidRPr="00C67C91">
        <w:rPr>
          <w:rFonts w:ascii="Arial" w:hAnsi="Arial" w:cs="Arial"/>
          <w:sz w:val="20"/>
          <w:szCs w:val="20"/>
        </w:rPr>
        <w:t xml:space="preserve">alquiler mantenido con </w:t>
      </w:r>
      <w:r w:rsidR="008C1D63" w:rsidRPr="00C67C91">
        <w:rPr>
          <w:rFonts w:ascii="Arial" w:hAnsi="Arial" w:cs="Arial"/>
          <w:color w:val="000000"/>
          <w:sz w:val="20"/>
          <w:szCs w:val="20"/>
        </w:rPr>
        <w:t xml:space="preserve">Canarias </w:t>
      </w:r>
      <w:proofErr w:type="spellStart"/>
      <w:r w:rsidR="008C1D63" w:rsidRPr="00C67C91">
        <w:rPr>
          <w:rFonts w:ascii="Arial" w:hAnsi="Arial" w:cs="Arial"/>
          <w:color w:val="000000"/>
          <w:sz w:val="20"/>
          <w:szCs w:val="20"/>
        </w:rPr>
        <w:t>Submarine</w:t>
      </w:r>
      <w:proofErr w:type="spellEnd"/>
      <w:r w:rsidR="008C1D63" w:rsidRPr="00C67C91">
        <w:rPr>
          <w:rFonts w:ascii="Arial" w:hAnsi="Arial" w:cs="Arial"/>
          <w:color w:val="000000"/>
          <w:sz w:val="20"/>
          <w:szCs w:val="20"/>
        </w:rPr>
        <w:t xml:space="preserve"> Link, S</w:t>
      </w:r>
      <w:r w:rsidR="003C2A35">
        <w:rPr>
          <w:rFonts w:ascii="Arial" w:hAnsi="Arial" w:cs="Arial"/>
          <w:color w:val="000000"/>
          <w:sz w:val="20"/>
          <w:szCs w:val="20"/>
        </w:rPr>
        <w:t>.</w:t>
      </w:r>
      <w:r w:rsidR="008C1D63" w:rsidRPr="00C67C91">
        <w:rPr>
          <w:rFonts w:ascii="Arial" w:hAnsi="Arial" w:cs="Arial"/>
          <w:color w:val="000000"/>
          <w:sz w:val="20"/>
          <w:szCs w:val="20"/>
        </w:rPr>
        <w:t>L</w:t>
      </w:r>
      <w:r w:rsidR="003C2A35">
        <w:rPr>
          <w:rFonts w:ascii="Arial" w:hAnsi="Arial" w:cs="Arial"/>
          <w:color w:val="000000"/>
          <w:sz w:val="20"/>
          <w:szCs w:val="20"/>
        </w:rPr>
        <w:t>.</w:t>
      </w:r>
      <w:r w:rsidR="00336822" w:rsidRPr="00C67C91">
        <w:rPr>
          <w:rFonts w:ascii="Arial" w:hAnsi="Arial" w:cs="Arial"/>
          <w:sz w:val="20"/>
          <w:szCs w:val="20"/>
        </w:rPr>
        <w:t xml:space="preserve"> por cesión de derechos en s</w:t>
      </w:r>
      <w:r w:rsidR="008C1D63" w:rsidRPr="00C67C91">
        <w:rPr>
          <w:rFonts w:ascii="Arial" w:hAnsi="Arial" w:cs="Arial"/>
          <w:sz w:val="20"/>
          <w:szCs w:val="20"/>
        </w:rPr>
        <w:t>istema submarino internacional.</w:t>
      </w:r>
    </w:p>
    <w:p w:rsidR="008C1D63" w:rsidRPr="00C67C91" w:rsidRDefault="008C1D63" w:rsidP="0020061C">
      <w:pPr>
        <w:keepNext/>
        <w:keepLines/>
        <w:spacing w:before="120" w:after="0" w:line="260" w:lineRule="exact"/>
        <w:jc w:val="both"/>
        <w:rPr>
          <w:rFonts w:ascii="Arial" w:hAnsi="Arial" w:cs="Arial"/>
          <w:b/>
          <w:sz w:val="20"/>
          <w:szCs w:val="20"/>
          <w:u w:val="single"/>
        </w:rPr>
      </w:pPr>
      <w:r w:rsidRPr="00C67C91">
        <w:rPr>
          <w:rFonts w:ascii="Arial" w:hAnsi="Arial" w:cs="Arial"/>
          <w:b/>
          <w:sz w:val="20"/>
          <w:szCs w:val="20"/>
          <w:u w:val="single"/>
        </w:rPr>
        <w:t>Saldos entre partes vinculadas</w:t>
      </w:r>
    </w:p>
    <w:p w:rsidR="008C1D63" w:rsidRPr="00C67C91" w:rsidRDefault="008C1D63" w:rsidP="0020061C">
      <w:pPr>
        <w:keepNext/>
        <w:keepLines/>
        <w:spacing w:before="120" w:after="120" w:line="260" w:lineRule="exact"/>
        <w:jc w:val="both"/>
        <w:rPr>
          <w:rFonts w:ascii="Arial" w:hAnsi="Arial" w:cs="Arial"/>
          <w:sz w:val="20"/>
          <w:szCs w:val="20"/>
        </w:rPr>
      </w:pPr>
      <w:r w:rsidRPr="00C67C91">
        <w:rPr>
          <w:rFonts w:ascii="Arial" w:hAnsi="Arial" w:cs="Arial"/>
          <w:sz w:val="20"/>
          <w:szCs w:val="20"/>
        </w:rPr>
        <w:t>El detalle de los saldos mantenidos con partes vinculadas al 31 de diciembre de 20</w:t>
      </w:r>
      <w:r w:rsidR="002767D9" w:rsidRPr="00C67C91">
        <w:rPr>
          <w:rFonts w:ascii="Arial" w:hAnsi="Arial" w:cs="Arial"/>
          <w:sz w:val="20"/>
          <w:szCs w:val="20"/>
        </w:rPr>
        <w:t>20</w:t>
      </w:r>
      <w:r w:rsidRPr="00C67C91">
        <w:rPr>
          <w:rFonts w:ascii="Arial" w:hAnsi="Arial" w:cs="Arial"/>
          <w:sz w:val="20"/>
          <w:szCs w:val="20"/>
        </w:rPr>
        <w:t xml:space="preserve"> y 201</w:t>
      </w:r>
      <w:r w:rsidR="002767D9" w:rsidRPr="00C67C91">
        <w:rPr>
          <w:rFonts w:ascii="Arial" w:hAnsi="Arial" w:cs="Arial"/>
          <w:sz w:val="20"/>
          <w:szCs w:val="20"/>
        </w:rPr>
        <w:t>9</w:t>
      </w:r>
      <w:r w:rsidRPr="00C67C91">
        <w:rPr>
          <w:rFonts w:ascii="Arial" w:hAnsi="Arial" w:cs="Arial"/>
          <w:sz w:val="20"/>
          <w:szCs w:val="20"/>
        </w:rPr>
        <w:t xml:space="preserve"> se indica a continuación, en euros:</w:t>
      </w:r>
    </w:p>
    <w:tbl>
      <w:tblPr>
        <w:tblW w:w="5042" w:type="pct"/>
        <w:tblCellMar>
          <w:left w:w="70" w:type="dxa"/>
          <w:right w:w="70" w:type="dxa"/>
        </w:tblCellMar>
        <w:tblLook w:val="04A0"/>
      </w:tblPr>
      <w:tblGrid>
        <w:gridCol w:w="3919"/>
        <w:gridCol w:w="1136"/>
        <w:gridCol w:w="1089"/>
        <w:gridCol w:w="1289"/>
        <w:gridCol w:w="1285"/>
      </w:tblGrid>
      <w:tr w:rsidR="00F463E6" w:rsidRPr="003C2A35" w:rsidTr="00EF0678">
        <w:trPr>
          <w:trHeight w:val="521"/>
        </w:trPr>
        <w:tc>
          <w:tcPr>
            <w:tcW w:w="2106" w:type="pct"/>
            <w:tcBorders>
              <w:top w:val="nil"/>
              <w:left w:val="nil"/>
              <w:bottom w:val="single" w:sz="4" w:space="0" w:color="auto"/>
              <w:right w:val="nil"/>
            </w:tcBorders>
            <w:shd w:val="clear" w:color="000000" w:fill="D9D9D9"/>
            <w:noWrap/>
            <w:vAlign w:val="bottom"/>
            <w:hideMark/>
          </w:tcPr>
          <w:p w:rsidR="00F1321E" w:rsidRPr="003C2A35" w:rsidRDefault="00F1321E" w:rsidP="003C2A35">
            <w:pPr>
              <w:spacing w:after="0" w:line="240" w:lineRule="auto"/>
              <w:rPr>
                <w:rFonts w:ascii="Arial" w:hAnsi="Arial" w:cs="Arial"/>
                <w:b/>
                <w:bCs/>
                <w:color w:val="000000"/>
                <w:sz w:val="18"/>
                <w:szCs w:val="18"/>
              </w:rPr>
            </w:pPr>
            <w:r w:rsidRPr="003C2A35">
              <w:rPr>
                <w:rFonts w:ascii="Arial" w:hAnsi="Arial" w:cs="Arial"/>
                <w:b/>
                <w:bCs/>
                <w:color w:val="000000"/>
                <w:sz w:val="18"/>
                <w:szCs w:val="18"/>
              </w:rPr>
              <w:t>Saldos pendientes con partes vinculadas</w:t>
            </w:r>
          </w:p>
        </w:tc>
        <w:tc>
          <w:tcPr>
            <w:tcW w:w="687" w:type="pct"/>
            <w:tcBorders>
              <w:top w:val="nil"/>
              <w:left w:val="nil"/>
              <w:bottom w:val="single" w:sz="4" w:space="0" w:color="auto"/>
              <w:right w:val="nil"/>
            </w:tcBorders>
            <w:shd w:val="clear" w:color="000000" w:fill="D9D9D9"/>
            <w:vAlign w:val="bottom"/>
            <w:hideMark/>
          </w:tcPr>
          <w:p w:rsidR="00F1321E" w:rsidRPr="003C2A35" w:rsidRDefault="00F1321E" w:rsidP="00EF0678">
            <w:pPr>
              <w:spacing w:after="0" w:line="240" w:lineRule="auto"/>
              <w:jc w:val="center"/>
              <w:rPr>
                <w:rFonts w:ascii="Arial" w:hAnsi="Arial" w:cs="Arial"/>
                <w:b/>
                <w:bCs/>
                <w:color w:val="000000"/>
                <w:sz w:val="18"/>
                <w:szCs w:val="18"/>
              </w:rPr>
            </w:pPr>
            <w:r w:rsidRPr="003C2A35">
              <w:rPr>
                <w:rFonts w:ascii="Arial" w:hAnsi="Arial" w:cs="Arial"/>
                <w:b/>
                <w:bCs/>
                <w:color w:val="000000"/>
                <w:sz w:val="18"/>
                <w:szCs w:val="18"/>
              </w:rPr>
              <w:t>Entidad dominante 2020</w:t>
            </w:r>
          </w:p>
        </w:tc>
        <w:tc>
          <w:tcPr>
            <w:tcW w:w="660" w:type="pct"/>
            <w:tcBorders>
              <w:top w:val="nil"/>
              <w:left w:val="nil"/>
              <w:bottom w:val="single" w:sz="4" w:space="0" w:color="auto"/>
              <w:right w:val="nil"/>
            </w:tcBorders>
            <w:shd w:val="clear" w:color="000000" w:fill="D9D9D9"/>
            <w:vAlign w:val="bottom"/>
            <w:hideMark/>
          </w:tcPr>
          <w:p w:rsidR="00F1321E" w:rsidRPr="003C2A35" w:rsidRDefault="00F1321E" w:rsidP="00EF0678">
            <w:pPr>
              <w:spacing w:after="0" w:line="240" w:lineRule="auto"/>
              <w:jc w:val="center"/>
              <w:rPr>
                <w:rFonts w:ascii="Arial" w:hAnsi="Arial" w:cs="Arial"/>
                <w:b/>
                <w:bCs/>
                <w:color w:val="000000"/>
                <w:sz w:val="18"/>
                <w:szCs w:val="18"/>
              </w:rPr>
            </w:pPr>
            <w:r w:rsidRPr="003C2A35">
              <w:rPr>
                <w:rFonts w:ascii="Arial" w:hAnsi="Arial" w:cs="Arial"/>
                <w:b/>
                <w:bCs/>
                <w:color w:val="000000"/>
                <w:sz w:val="18"/>
                <w:szCs w:val="18"/>
              </w:rPr>
              <w:t>Entidad dominante 2019</w:t>
            </w:r>
          </w:p>
        </w:tc>
        <w:tc>
          <w:tcPr>
            <w:tcW w:w="775" w:type="pct"/>
            <w:tcBorders>
              <w:top w:val="nil"/>
              <w:left w:val="nil"/>
              <w:bottom w:val="single" w:sz="4" w:space="0" w:color="auto"/>
              <w:right w:val="nil"/>
            </w:tcBorders>
            <w:shd w:val="clear" w:color="000000" w:fill="D9D9D9"/>
            <w:vAlign w:val="bottom"/>
            <w:hideMark/>
          </w:tcPr>
          <w:p w:rsidR="00F1321E" w:rsidRPr="003C2A35" w:rsidRDefault="00F1321E" w:rsidP="00EF0678">
            <w:pPr>
              <w:spacing w:after="0" w:line="240" w:lineRule="auto"/>
              <w:jc w:val="center"/>
              <w:rPr>
                <w:rFonts w:ascii="Arial" w:hAnsi="Arial" w:cs="Arial"/>
                <w:b/>
                <w:bCs/>
                <w:color w:val="000000"/>
                <w:sz w:val="18"/>
                <w:szCs w:val="18"/>
              </w:rPr>
            </w:pPr>
            <w:r w:rsidRPr="003C2A35">
              <w:rPr>
                <w:rFonts w:ascii="Arial" w:hAnsi="Arial" w:cs="Arial"/>
                <w:b/>
                <w:bCs/>
                <w:color w:val="000000"/>
                <w:sz w:val="18"/>
                <w:szCs w:val="18"/>
              </w:rPr>
              <w:t xml:space="preserve">Otras </w:t>
            </w:r>
            <w:r w:rsidR="0020061C">
              <w:rPr>
                <w:rFonts w:ascii="Arial" w:hAnsi="Arial" w:cs="Arial"/>
                <w:b/>
                <w:bCs/>
                <w:color w:val="000000"/>
                <w:sz w:val="18"/>
                <w:szCs w:val="18"/>
              </w:rPr>
              <w:t>Eª</w:t>
            </w:r>
            <w:r w:rsidRPr="003C2A35">
              <w:rPr>
                <w:rFonts w:ascii="Arial" w:hAnsi="Arial" w:cs="Arial"/>
                <w:b/>
                <w:bCs/>
                <w:color w:val="000000"/>
                <w:sz w:val="18"/>
                <w:szCs w:val="18"/>
              </w:rPr>
              <w:t xml:space="preserve"> del grupo 2020</w:t>
            </w:r>
          </w:p>
        </w:tc>
        <w:tc>
          <w:tcPr>
            <w:tcW w:w="772" w:type="pct"/>
            <w:tcBorders>
              <w:top w:val="nil"/>
              <w:left w:val="nil"/>
              <w:bottom w:val="single" w:sz="4" w:space="0" w:color="auto"/>
              <w:right w:val="nil"/>
            </w:tcBorders>
            <w:shd w:val="clear" w:color="000000" w:fill="D9D9D9"/>
            <w:vAlign w:val="bottom"/>
            <w:hideMark/>
          </w:tcPr>
          <w:p w:rsidR="00F1321E" w:rsidRPr="003C2A35" w:rsidRDefault="00F1321E" w:rsidP="00EF0678">
            <w:pPr>
              <w:spacing w:after="0" w:line="240" w:lineRule="auto"/>
              <w:jc w:val="center"/>
              <w:rPr>
                <w:rFonts w:ascii="Arial" w:hAnsi="Arial" w:cs="Arial"/>
                <w:b/>
                <w:bCs/>
                <w:color w:val="000000"/>
                <w:sz w:val="18"/>
                <w:szCs w:val="18"/>
              </w:rPr>
            </w:pPr>
            <w:r w:rsidRPr="003C2A35">
              <w:rPr>
                <w:rFonts w:ascii="Arial" w:hAnsi="Arial" w:cs="Arial"/>
                <w:b/>
                <w:bCs/>
                <w:color w:val="000000"/>
                <w:sz w:val="18"/>
                <w:szCs w:val="18"/>
              </w:rPr>
              <w:t xml:space="preserve">Otras </w:t>
            </w:r>
            <w:r w:rsidR="0020061C">
              <w:rPr>
                <w:rFonts w:ascii="Arial" w:hAnsi="Arial" w:cs="Arial"/>
                <w:b/>
                <w:bCs/>
                <w:color w:val="000000"/>
                <w:sz w:val="18"/>
                <w:szCs w:val="18"/>
              </w:rPr>
              <w:t>Eª</w:t>
            </w:r>
            <w:r w:rsidRPr="003C2A35">
              <w:rPr>
                <w:rFonts w:ascii="Arial" w:hAnsi="Arial" w:cs="Arial"/>
                <w:b/>
                <w:bCs/>
                <w:color w:val="000000"/>
                <w:sz w:val="18"/>
                <w:szCs w:val="18"/>
              </w:rPr>
              <w:t xml:space="preserve"> del grupo 2019</w:t>
            </w:r>
          </w:p>
        </w:tc>
      </w:tr>
      <w:tr w:rsidR="00F463E6" w:rsidRPr="003C2A35" w:rsidTr="009F674C">
        <w:trPr>
          <w:trHeight w:val="283"/>
        </w:trPr>
        <w:tc>
          <w:tcPr>
            <w:tcW w:w="2106" w:type="pct"/>
            <w:tcBorders>
              <w:top w:val="single" w:sz="4" w:space="0" w:color="auto"/>
              <w:left w:val="nil"/>
              <w:bottom w:val="nil"/>
              <w:right w:val="nil"/>
            </w:tcBorders>
            <w:shd w:val="clear" w:color="000000" w:fill="F2F2F2"/>
            <w:noWrap/>
            <w:vAlign w:val="center"/>
            <w:hideMark/>
          </w:tcPr>
          <w:p w:rsidR="00F1321E" w:rsidRPr="003C2A35" w:rsidRDefault="00F1321E" w:rsidP="003C2A35">
            <w:pPr>
              <w:spacing w:after="0" w:line="240" w:lineRule="auto"/>
              <w:rPr>
                <w:rFonts w:ascii="Arial" w:hAnsi="Arial" w:cs="Arial"/>
                <w:b/>
                <w:bCs/>
                <w:color w:val="000000"/>
                <w:sz w:val="18"/>
                <w:szCs w:val="18"/>
              </w:rPr>
            </w:pPr>
            <w:r w:rsidRPr="003C2A35">
              <w:rPr>
                <w:rFonts w:ascii="Arial" w:hAnsi="Arial" w:cs="Arial"/>
                <w:b/>
                <w:bCs/>
                <w:color w:val="000000"/>
                <w:sz w:val="18"/>
                <w:szCs w:val="18"/>
              </w:rPr>
              <w:t>B) ACTIVO CORRIENTE</w:t>
            </w:r>
          </w:p>
        </w:tc>
        <w:tc>
          <w:tcPr>
            <w:tcW w:w="687" w:type="pct"/>
            <w:tcBorders>
              <w:top w:val="single" w:sz="4" w:space="0" w:color="auto"/>
              <w:left w:val="nil"/>
              <w:bottom w:val="nil"/>
              <w:right w:val="nil"/>
            </w:tcBorders>
            <w:shd w:val="clear" w:color="000000" w:fill="F2F2F2"/>
            <w:noWrap/>
            <w:vAlign w:val="center"/>
            <w:hideMark/>
          </w:tcPr>
          <w:p w:rsidR="00F1321E" w:rsidRPr="003C2A35" w:rsidRDefault="00042B36" w:rsidP="003C2A35">
            <w:pPr>
              <w:spacing w:after="0" w:line="240" w:lineRule="auto"/>
              <w:jc w:val="right"/>
              <w:rPr>
                <w:rFonts w:ascii="Arial" w:hAnsi="Arial" w:cs="Arial"/>
                <w:b/>
                <w:bCs/>
                <w:color w:val="000000"/>
                <w:sz w:val="18"/>
                <w:szCs w:val="18"/>
              </w:rPr>
            </w:pPr>
            <w:r w:rsidRPr="003C2A35">
              <w:rPr>
                <w:rFonts w:ascii="Arial" w:hAnsi="Arial" w:cs="Arial"/>
                <w:b/>
                <w:bCs/>
                <w:color w:val="000000"/>
                <w:sz w:val="18"/>
                <w:szCs w:val="18"/>
              </w:rPr>
              <w:t>533.538,63</w:t>
            </w:r>
          </w:p>
        </w:tc>
        <w:tc>
          <w:tcPr>
            <w:tcW w:w="660" w:type="pct"/>
            <w:tcBorders>
              <w:top w:val="single" w:sz="4" w:space="0" w:color="auto"/>
              <w:left w:val="nil"/>
              <w:bottom w:val="nil"/>
              <w:right w:val="nil"/>
            </w:tcBorders>
            <w:shd w:val="clear" w:color="000000" w:fill="F2F2F2"/>
            <w:noWrap/>
            <w:vAlign w:val="center"/>
            <w:hideMark/>
          </w:tcPr>
          <w:p w:rsidR="00F1321E" w:rsidRPr="003C2A35" w:rsidRDefault="00F1321E" w:rsidP="003C2A35">
            <w:pPr>
              <w:spacing w:after="0" w:line="240" w:lineRule="auto"/>
              <w:jc w:val="right"/>
              <w:rPr>
                <w:rFonts w:ascii="Arial" w:hAnsi="Arial" w:cs="Arial"/>
                <w:b/>
                <w:bCs/>
                <w:color w:val="000000"/>
                <w:sz w:val="18"/>
                <w:szCs w:val="18"/>
              </w:rPr>
            </w:pPr>
            <w:r w:rsidRPr="003C2A35">
              <w:rPr>
                <w:rFonts w:ascii="Arial" w:hAnsi="Arial" w:cs="Arial"/>
                <w:b/>
                <w:bCs/>
                <w:color w:val="000000"/>
                <w:sz w:val="18"/>
                <w:szCs w:val="18"/>
              </w:rPr>
              <w:t>519.840,92</w:t>
            </w:r>
          </w:p>
        </w:tc>
        <w:tc>
          <w:tcPr>
            <w:tcW w:w="775" w:type="pct"/>
            <w:tcBorders>
              <w:top w:val="single" w:sz="4" w:space="0" w:color="auto"/>
              <w:left w:val="nil"/>
              <w:bottom w:val="nil"/>
              <w:right w:val="nil"/>
            </w:tcBorders>
            <w:shd w:val="clear" w:color="000000" w:fill="F2F2F2"/>
            <w:noWrap/>
            <w:vAlign w:val="center"/>
            <w:hideMark/>
          </w:tcPr>
          <w:p w:rsidR="00F1321E" w:rsidRPr="003C2A35" w:rsidRDefault="00F1321E" w:rsidP="003C2A35">
            <w:pPr>
              <w:spacing w:after="0" w:line="240" w:lineRule="auto"/>
              <w:jc w:val="right"/>
              <w:rPr>
                <w:rFonts w:ascii="Arial" w:hAnsi="Arial" w:cs="Arial"/>
                <w:b/>
                <w:bCs/>
                <w:color w:val="000000"/>
                <w:sz w:val="18"/>
                <w:szCs w:val="18"/>
              </w:rPr>
            </w:pPr>
            <w:r w:rsidRPr="003C2A35">
              <w:rPr>
                <w:rFonts w:ascii="Arial" w:hAnsi="Arial" w:cs="Arial"/>
                <w:b/>
                <w:bCs/>
                <w:color w:val="000000"/>
                <w:sz w:val="18"/>
                <w:szCs w:val="18"/>
              </w:rPr>
              <w:t>4.481.000,00</w:t>
            </w:r>
          </w:p>
        </w:tc>
        <w:tc>
          <w:tcPr>
            <w:tcW w:w="772" w:type="pct"/>
            <w:tcBorders>
              <w:top w:val="single" w:sz="4" w:space="0" w:color="auto"/>
              <w:left w:val="nil"/>
              <w:bottom w:val="nil"/>
              <w:right w:val="nil"/>
            </w:tcBorders>
            <w:shd w:val="clear" w:color="000000" w:fill="F2F2F2"/>
            <w:noWrap/>
            <w:vAlign w:val="center"/>
            <w:hideMark/>
          </w:tcPr>
          <w:p w:rsidR="00F1321E" w:rsidRPr="003C2A35" w:rsidRDefault="00F1321E" w:rsidP="003C2A35">
            <w:pPr>
              <w:spacing w:after="0" w:line="240" w:lineRule="auto"/>
              <w:jc w:val="right"/>
              <w:rPr>
                <w:rFonts w:ascii="Arial" w:hAnsi="Arial" w:cs="Arial"/>
                <w:b/>
                <w:bCs/>
                <w:color w:val="000000"/>
                <w:sz w:val="18"/>
                <w:szCs w:val="18"/>
              </w:rPr>
            </w:pPr>
            <w:r w:rsidRPr="003C2A35">
              <w:rPr>
                <w:rFonts w:ascii="Arial" w:hAnsi="Arial" w:cs="Arial"/>
                <w:b/>
                <w:bCs/>
                <w:color w:val="000000"/>
                <w:sz w:val="18"/>
                <w:szCs w:val="18"/>
              </w:rPr>
              <w:t>3.197.000,00</w:t>
            </w:r>
          </w:p>
        </w:tc>
      </w:tr>
      <w:tr w:rsidR="00465210" w:rsidRPr="003C2A35" w:rsidTr="009F674C">
        <w:trPr>
          <w:trHeight w:val="283"/>
        </w:trPr>
        <w:tc>
          <w:tcPr>
            <w:tcW w:w="2106" w:type="pct"/>
            <w:tcBorders>
              <w:top w:val="nil"/>
              <w:left w:val="nil"/>
              <w:bottom w:val="nil"/>
              <w:right w:val="nil"/>
            </w:tcBorders>
            <w:noWrap/>
            <w:vAlign w:val="center"/>
            <w:hideMark/>
          </w:tcPr>
          <w:p w:rsidR="00F1321E" w:rsidRPr="003C2A35" w:rsidRDefault="00F1321E" w:rsidP="003C2A35">
            <w:pPr>
              <w:spacing w:after="0" w:line="240" w:lineRule="auto"/>
              <w:rPr>
                <w:rFonts w:ascii="Arial" w:hAnsi="Arial" w:cs="Arial"/>
                <w:color w:val="000000"/>
                <w:sz w:val="18"/>
                <w:szCs w:val="18"/>
              </w:rPr>
            </w:pPr>
            <w:r w:rsidRPr="003C2A35">
              <w:rPr>
                <w:rFonts w:ascii="Arial" w:hAnsi="Arial" w:cs="Arial"/>
                <w:color w:val="000000"/>
                <w:sz w:val="18"/>
                <w:szCs w:val="18"/>
              </w:rPr>
              <w:t xml:space="preserve">Clientes por ventas </w:t>
            </w:r>
          </w:p>
        </w:tc>
        <w:tc>
          <w:tcPr>
            <w:tcW w:w="687" w:type="pct"/>
            <w:tcBorders>
              <w:top w:val="nil"/>
              <w:left w:val="nil"/>
              <w:bottom w:val="nil"/>
              <w:right w:val="nil"/>
            </w:tcBorders>
            <w:noWrap/>
            <w:vAlign w:val="center"/>
            <w:hideMark/>
          </w:tcPr>
          <w:p w:rsidR="00F1321E" w:rsidRPr="003C2A35" w:rsidRDefault="003C2A35" w:rsidP="003C2A35">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60" w:type="pct"/>
            <w:tcBorders>
              <w:top w:val="nil"/>
              <w:left w:val="nil"/>
              <w:bottom w:val="nil"/>
              <w:right w:val="nil"/>
            </w:tcBorders>
            <w:noWrap/>
            <w:vAlign w:val="center"/>
            <w:hideMark/>
          </w:tcPr>
          <w:p w:rsidR="00F1321E" w:rsidRPr="003C2A35" w:rsidRDefault="00F1321E" w:rsidP="003C2A35">
            <w:pPr>
              <w:spacing w:after="0" w:line="240" w:lineRule="auto"/>
              <w:jc w:val="right"/>
              <w:rPr>
                <w:rFonts w:ascii="Arial" w:hAnsi="Arial" w:cs="Arial"/>
                <w:color w:val="000000"/>
                <w:sz w:val="18"/>
                <w:szCs w:val="18"/>
              </w:rPr>
            </w:pPr>
            <w:r w:rsidRPr="003C2A35">
              <w:rPr>
                <w:rFonts w:ascii="Arial" w:hAnsi="Arial" w:cs="Arial"/>
                <w:color w:val="000000"/>
                <w:sz w:val="18"/>
                <w:szCs w:val="18"/>
              </w:rPr>
              <w:t>-</w:t>
            </w:r>
          </w:p>
        </w:tc>
        <w:tc>
          <w:tcPr>
            <w:tcW w:w="775" w:type="pct"/>
            <w:tcBorders>
              <w:top w:val="nil"/>
              <w:left w:val="nil"/>
              <w:bottom w:val="nil"/>
              <w:right w:val="nil"/>
            </w:tcBorders>
            <w:noWrap/>
            <w:vAlign w:val="center"/>
            <w:hideMark/>
          </w:tcPr>
          <w:p w:rsidR="00F1321E" w:rsidRPr="003C2A35" w:rsidRDefault="00F1321E" w:rsidP="003C2A35">
            <w:pPr>
              <w:spacing w:after="0" w:line="240" w:lineRule="auto"/>
              <w:jc w:val="right"/>
              <w:rPr>
                <w:rFonts w:ascii="Arial" w:hAnsi="Arial" w:cs="Arial"/>
                <w:color w:val="000000"/>
                <w:sz w:val="18"/>
                <w:szCs w:val="18"/>
              </w:rPr>
            </w:pPr>
            <w:r w:rsidRPr="003C2A35">
              <w:rPr>
                <w:rFonts w:ascii="Arial" w:hAnsi="Arial" w:cs="Arial"/>
                <w:color w:val="000000"/>
                <w:sz w:val="18"/>
                <w:szCs w:val="18"/>
              </w:rPr>
              <w:t>4.481.000,00</w:t>
            </w:r>
          </w:p>
        </w:tc>
        <w:tc>
          <w:tcPr>
            <w:tcW w:w="772" w:type="pct"/>
            <w:tcBorders>
              <w:top w:val="nil"/>
              <w:left w:val="nil"/>
              <w:bottom w:val="nil"/>
              <w:right w:val="nil"/>
            </w:tcBorders>
            <w:noWrap/>
            <w:vAlign w:val="center"/>
            <w:hideMark/>
          </w:tcPr>
          <w:p w:rsidR="00F1321E" w:rsidRPr="003C2A35" w:rsidRDefault="00F1321E" w:rsidP="003C2A35">
            <w:pPr>
              <w:spacing w:after="0" w:line="240" w:lineRule="auto"/>
              <w:jc w:val="right"/>
              <w:rPr>
                <w:rFonts w:ascii="Arial" w:hAnsi="Arial" w:cs="Arial"/>
                <w:color w:val="000000"/>
                <w:sz w:val="18"/>
                <w:szCs w:val="18"/>
              </w:rPr>
            </w:pPr>
            <w:r w:rsidRPr="003C2A35">
              <w:rPr>
                <w:rFonts w:ascii="Arial" w:hAnsi="Arial" w:cs="Arial"/>
                <w:color w:val="000000"/>
                <w:sz w:val="18"/>
                <w:szCs w:val="18"/>
              </w:rPr>
              <w:t>3.197.000,00</w:t>
            </w:r>
          </w:p>
        </w:tc>
      </w:tr>
      <w:tr w:rsidR="00465210" w:rsidRPr="003C2A35" w:rsidTr="009F674C">
        <w:trPr>
          <w:trHeight w:val="283"/>
        </w:trPr>
        <w:tc>
          <w:tcPr>
            <w:tcW w:w="2106" w:type="pct"/>
            <w:tcBorders>
              <w:top w:val="nil"/>
              <w:left w:val="nil"/>
              <w:bottom w:val="nil"/>
              <w:right w:val="nil"/>
            </w:tcBorders>
            <w:noWrap/>
            <w:vAlign w:val="center"/>
            <w:hideMark/>
          </w:tcPr>
          <w:p w:rsidR="00F1321E" w:rsidRPr="003C2A35" w:rsidRDefault="00F1321E" w:rsidP="003C2A35">
            <w:pPr>
              <w:spacing w:after="0" w:line="240" w:lineRule="auto"/>
              <w:rPr>
                <w:rFonts w:ascii="Arial" w:hAnsi="Arial" w:cs="Arial"/>
                <w:color w:val="000000"/>
                <w:sz w:val="18"/>
                <w:szCs w:val="18"/>
              </w:rPr>
            </w:pPr>
            <w:r w:rsidRPr="003C2A35">
              <w:rPr>
                <w:rFonts w:ascii="Arial" w:hAnsi="Arial" w:cs="Arial"/>
                <w:color w:val="000000"/>
                <w:sz w:val="18"/>
                <w:szCs w:val="18"/>
              </w:rPr>
              <w:t xml:space="preserve">Inversiones financieras  </w:t>
            </w:r>
          </w:p>
        </w:tc>
        <w:tc>
          <w:tcPr>
            <w:tcW w:w="687" w:type="pct"/>
            <w:tcBorders>
              <w:top w:val="nil"/>
              <w:left w:val="nil"/>
              <w:bottom w:val="nil"/>
              <w:right w:val="nil"/>
            </w:tcBorders>
            <w:noWrap/>
            <w:vAlign w:val="center"/>
            <w:hideMark/>
          </w:tcPr>
          <w:p w:rsidR="00F1321E" w:rsidRPr="003C2A35" w:rsidRDefault="00042B36" w:rsidP="003C2A35">
            <w:pPr>
              <w:spacing w:after="0" w:line="240" w:lineRule="auto"/>
              <w:jc w:val="right"/>
              <w:rPr>
                <w:rFonts w:ascii="Arial" w:hAnsi="Arial" w:cs="Arial"/>
                <w:color w:val="000000"/>
                <w:sz w:val="18"/>
                <w:szCs w:val="18"/>
              </w:rPr>
            </w:pPr>
            <w:r w:rsidRPr="003C2A35">
              <w:rPr>
                <w:rFonts w:ascii="Arial" w:hAnsi="Arial" w:cs="Arial"/>
                <w:color w:val="000000"/>
                <w:sz w:val="18"/>
                <w:szCs w:val="18"/>
              </w:rPr>
              <w:t>533.538,63</w:t>
            </w:r>
          </w:p>
        </w:tc>
        <w:tc>
          <w:tcPr>
            <w:tcW w:w="660" w:type="pct"/>
            <w:tcBorders>
              <w:top w:val="nil"/>
              <w:left w:val="nil"/>
              <w:bottom w:val="nil"/>
              <w:right w:val="nil"/>
            </w:tcBorders>
            <w:noWrap/>
            <w:vAlign w:val="center"/>
            <w:hideMark/>
          </w:tcPr>
          <w:p w:rsidR="00F1321E" w:rsidRPr="003C2A35" w:rsidRDefault="00F1321E" w:rsidP="003C2A35">
            <w:pPr>
              <w:spacing w:after="0" w:line="240" w:lineRule="auto"/>
              <w:jc w:val="right"/>
              <w:rPr>
                <w:rFonts w:ascii="Arial" w:hAnsi="Arial" w:cs="Arial"/>
                <w:color w:val="000000"/>
                <w:sz w:val="18"/>
                <w:szCs w:val="18"/>
              </w:rPr>
            </w:pPr>
            <w:r w:rsidRPr="003C2A35">
              <w:rPr>
                <w:rFonts w:ascii="Arial" w:hAnsi="Arial" w:cs="Arial"/>
                <w:color w:val="000000"/>
                <w:sz w:val="18"/>
                <w:szCs w:val="18"/>
              </w:rPr>
              <w:t>519.840,92</w:t>
            </w:r>
          </w:p>
        </w:tc>
        <w:tc>
          <w:tcPr>
            <w:tcW w:w="775" w:type="pct"/>
            <w:tcBorders>
              <w:top w:val="nil"/>
              <w:left w:val="nil"/>
              <w:bottom w:val="nil"/>
              <w:right w:val="nil"/>
            </w:tcBorders>
            <w:noWrap/>
            <w:vAlign w:val="center"/>
            <w:hideMark/>
          </w:tcPr>
          <w:p w:rsidR="00F1321E" w:rsidRPr="003C2A35" w:rsidRDefault="00F1321E" w:rsidP="003C2A35">
            <w:pPr>
              <w:spacing w:after="0" w:line="240" w:lineRule="auto"/>
              <w:jc w:val="right"/>
              <w:rPr>
                <w:rFonts w:ascii="Arial" w:hAnsi="Arial" w:cs="Arial"/>
                <w:color w:val="000000"/>
                <w:sz w:val="18"/>
                <w:szCs w:val="18"/>
              </w:rPr>
            </w:pPr>
            <w:r w:rsidRPr="003C2A35">
              <w:rPr>
                <w:rFonts w:ascii="Arial" w:hAnsi="Arial" w:cs="Arial"/>
                <w:color w:val="000000"/>
                <w:sz w:val="18"/>
                <w:szCs w:val="18"/>
              </w:rPr>
              <w:t>-</w:t>
            </w:r>
          </w:p>
        </w:tc>
        <w:tc>
          <w:tcPr>
            <w:tcW w:w="772" w:type="pct"/>
            <w:tcBorders>
              <w:top w:val="nil"/>
              <w:left w:val="nil"/>
              <w:bottom w:val="nil"/>
              <w:right w:val="nil"/>
            </w:tcBorders>
            <w:noWrap/>
            <w:vAlign w:val="center"/>
            <w:hideMark/>
          </w:tcPr>
          <w:p w:rsidR="00F1321E" w:rsidRPr="003C2A35" w:rsidRDefault="00F1321E" w:rsidP="003C2A35">
            <w:pPr>
              <w:spacing w:after="0" w:line="240" w:lineRule="auto"/>
              <w:jc w:val="right"/>
              <w:rPr>
                <w:rFonts w:ascii="Arial" w:hAnsi="Arial" w:cs="Arial"/>
                <w:color w:val="000000"/>
                <w:sz w:val="18"/>
                <w:szCs w:val="18"/>
              </w:rPr>
            </w:pPr>
            <w:r w:rsidRPr="003C2A35">
              <w:rPr>
                <w:rFonts w:ascii="Arial" w:hAnsi="Arial" w:cs="Arial"/>
                <w:color w:val="000000"/>
                <w:sz w:val="18"/>
                <w:szCs w:val="18"/>
              </w:rPr>
              <w:t>-</w:t>
            </w:r>
          </w:p>
        </w:tc>
      </w:tr>
      <w:tr w:rsidR="001D763A" w:rsidRPr="003C2A35" w:rsidTr="009F674C">
        <w:trPr>
          <w:trHeight w:val="283"/>
        </w:trPr>
        <w:tc>
          <w:tcPr>
            <w:tcW w:w="2106" w:type="pct"/>
            <w:tcBorders>
              <w:top w:val="nil"/>
              <w:left w:val="nil"/>
              <w:bottom w:val="nil"/>
              <w:right w:val="nil"/>
            </w:tcBorders>
            <w:shd w:val="clear" w:color="000000" w:fill="F2F2F2"/>
            <w:noWrap/>
            <w:vAlign w:val="center"/>
            <w:hideMark/>
          </w:tcPr>
          <w:p w:rsidR="001D763A" w:rsidRPr="003C2A35" w:rsidRDefault="001D763A" w:rsidP="001D763A">
            <w:pPr>
              <w:spacing w:after="0" w:line="240" w:lineRule="auto"/>
              <w:rPr>
                <w:rFonts w:ascii="Arial" w:hAnsi="Arial" w:cs="Arial"/>
                <w:b/>
                <w:bCs/>
                <w:color w:val="000000"/>
                <w:sz w:val="18"/>
                <w:szCs w:val="18"/>
              </w:rPr>
            </w:pPr>
            <w:r w:rsidRPr="003C2A35">
              <w:rPr>
                <w:rFonts w:ascii="Arial" w:hAnsi="Arial" w:cs="Arial"/>
                <w:b/>
                <w:bCs/>
                <w:color w:val="000000"/>
                <w:sz w:val="18"/>
                <w:szCs w:val="18"/>
              </w:rPr>
              <w:t>D) PASIVO CORRIENTE</w:t>
            </w:r>
          </w:p>
        </w:tc>
        <w:tc>
          <w:tcPr>
            <w:tcW w:w="687" w:type="pct"/>
            <w:tcBorders>
              <w:top w:val="nil"/>
              <w:left w:val="nil"/>
              <w:bottom w:val="nil"/>
              <w:right w:val="nil"/>
            </w:tcBorders>
            <w:shd w:val="clear" w:color="000000" w:fill="F2F2F2"/>
            <w:noWrap/>
            <w:vAlign w:val="center"/>
            <w:hideMark/>
          </w:tcPr>
          <w:p w:rsidR="001D763A" w:rsidRDefault="001D763A" w:rsidP="001D763A">
            <w:pPr>
              <w:spacing w:after="0"/>
              <w:jc w:val="right"/>
              <w:rPr>
                <w:rFonts w:ascii="Arial" w:hAnsi="Arial" w:cs="Arial"/>
                <w:b/>
                <w:bCs/>
                <w:color w:val="000000"/>
                <w:sz w:val="18"/>
                <w:szCs w:val="18"/>
              </w:rPr>
            </w:pPr>
            <w:r>
              <w:rPr>
                <w:rFonts w:ascii="Arial" w:hAnsi="Arial" w:cs="Arial"/>
                <w:b/>
                <w:bCs/>
                <w:color w:val="000000"/>
                <w:sz w:val="18"/>
                <w:szCs w:val="18"/>
              </w:rPr>
              <w:t>267.479,18</w:t>
            </w:r>
          </w:p>
        </w:tc>
        <w:tc>
          <w:tcPr>
            <w:tcW w:w="660" w:type="pct"/>
            <w:tcBorders>
              <w:top w:val="nil"/>
              <w:left w:val="nil"/>
              <w:bottom w:val="nil"/>
              <w:right w:val="nil"/>
            </w:tcBorders>
            <w:shd w:val="clear" w:color="000000" w:fill="F2F2F2"/>
            <w:noWrap/>
            <w:vAlign w:val="center"/>
            <w:hideMark/>
          </w:tcPr>
          <w:p w:rsidR="001D763A" w:rsidRPr="003C2A35" w:rsidRDefault="001D763A" w:rsidP="001D763A">
            <w:pPr>
              <w:spacing w:after="0" w:line="240" w:lineRule="auto"/>
              <w:jc w:val="right"/>
              <w:rPr>
                <w:rFonts w:ascii="Arial" w:hAnsi="Arial" w:cs="Arial"/>
                <w:b/>
                <w:bCs/>
                <w:color w:val="000000"/>
                <w:sz w:val="18"/>
                <w:szCs w:val="18"/>
              </w:rPr>
            </w:pPr>
            <w:r w:rsidRPr="003C2A35">
              <w:rPr>
                <w:rFonts w:ascii="Arial" w:hAnsi="Arial" w:cs="Arial"/>
                <w:b/>
                <w:bCs/>
                <w:color w:val="000000"/>
                <w:sz w:val="18"/>
                <w:szCs w:val="18"/>
              </w:rPr>
              <w:t>268.024,59</w:t>
            </w:r>
          </w:p>
        </w:tc>
        <w:tc>
          <w:tcPr>
            <w:tcW w:w="775" w:type="pct"/>
            <w:tcBorders>
              <w:top w:val="nil"/>
              <w:left w:val="nil"/>
              <w:bottom w:val="nil"/>
              <w:right w:val="nil"/>
            </w:tcBorders>
            <w:shd w:val="clear" w:color="000000" w:fill="F2F2F2"/>
            <w:noWrap/>
            <w:vAlign w:val="center"/>
            <w:hideMark/>
          </w:tcPr>
          <w:p w:rsidR="001D763A" w:rsidRPr="003C2A35" w:rsidRDefault="001D763A" w:rsidP="001D763A">
            <w:pPr>
              <w:spacing w:after="0" w:line="240" w:lineRule="auto"/>
              <w:jc w:val="right"/>
              <w:rPr>
                <w:rFonts w:ascii="Arial" w:hAnsi="Arial" w:cs="Arial"/>
                <w:b/>
                <w:bCs/>
                <w:color w:val="000000"/>
                <w:sz w:val="18"/>
                <w:szCs w:val="18"/>
              </w:rPr>
            </w:pPr>
            <w:r w:rsidRPr="003C2A35">
              <w:rPr>
                <w:rFonts w:ascii="Arial" w:hAnsi="Arial" w:cs="Arial"/>
                <w:b/>
                <w:bCs/>
                <w:color w:val="000000"/>
                <w:sz w:val="18"/>
                <w:szCs w:val="18"/>
              </w:rPr>
              <w:t>84.488,51</w:t>
            </w:r>
          </w:p>
        </w:tc>
        <w:tc>
          <w:tcPr>
            <w:tcW w:w="772" w:type="pct"/>
            <w:tcBorders>
              <w:top w:val="nil"/>
              <w:left w:val="nil"/>
              <w:bottom w:val="nil"/>
              <w:right w:val="nil"/>
            </w:tcBorders>
            <w:shd w:val="clear" w:color="000000" w:fill="F2F2F2"/>
            <w:noWrap/>
            <w:vAlign w:val="center"/>
            <w:hideMark/>
          </w:tcPr>
          <w:p w:rsidR="001D763A" w:rsidRPr="003C2A35" w:rsidRDefault="001D763A" w:rsidP="001D763A">
            <w:pPr>
              <w:spacing w:after="0" w:line="240" w:lineRule="auto"/>
              <w:jc w:val="right"/>
              <w:rPr>
                <w:rFonts w:ascii="Arial" w:hAnsi="Arial" w:cs="Arial"/>
                <w:b/>
                <w:bCs/>
                <w:color w:val="000000"/>
                <w:sz w:val="18"/>
                <w:szCs w:val="18"/>
              </w:rPr>
            </w:pPr>
            <w:r w:rsidRPr="003C2A35">
              <w:rPr>
                <w:rFonts w:ascii="Arial" w:hAnsi="Arial" w:cs="Arial"/>
                <w:b/>
                <w:bCs/>
                <w:color w:val="000000"/>
                <w:sz w:val="18"/>
                <w:szCs w:val="18"/>
              </w:rPr>
              <w:t>84.488,51</w:t>
            </w:r>
          </w:p>
        </w:tc>
      </w:tr>
      <w:tr w:rsidR="001D763A" w:rsidRPr="003C2A35" w:rsidTr="009F674C">
        <w:trPr>
          <w:trHeight w:val="283"/>
        </w:trPr>
        <w:tc>
          <w:tcPr>
            <w:tcW w:w="2106" w:type="pct"/>
            <w:tcBorders>
              <w:top w:val="nil"/>
              <w:left w:val="nil"/>
              <w:bottom w:val="nil"/>
              <w:right w:val="nil"/>
            </w:tcBorders>
            <w:noWrap/>
            <w:vAlign w:val="center"/>
            <w:hideMark/>
          </w:tcPr>
          <w:p w:rsidR="001D763A" w:rsidRPr="001D763A" w:rsidRDefault="001D763A" w:rsidP="001D763A">
            <w:pPr>
              <w:spacing w:after="0" w:line="240" w:lineRule="auto"/>
              <w:rPr>
                <w:rFonts w:ascii="Arial" w:hAnsi="Arial" w:cs="Arial"/>
                <w:color w:val="000000"/>
                <w:sz w:val="18"/>
                <w:szCs w:val="18"/>
              </w:rPr>
            </w:pPr>
            <w:r w:rsidRPr="001D763A">
              <w:rPr>
                <w:rFonts w:ascii="Arial" w:hAnsi="Arial" w:cs="Arial"/>
                <w:color w:val="000000"/>
                <w:sz w:val="18"/>
                <w:szCs w:val="18"/>
              </w:rPr>
              <w:t>Cuenta corriente con empresa del grupo</w:t>
            </w:r>
          </w:p>
        </w:tc>
        <w:tc>
          <w:tcPr>
            <w:tcW w:w="687" w:type="pct"/>
            <w:tcBorders>
              <w:top w:val="nil"/>
              <w:left w:val="nil"/>
              <w:bottom w:val="nil"/>
              <w:right w:val="nil"/>
            </w:tcBorders>
            <w:noWrap/>
            <w:vAlign w:val="center"/>
            <w:hideMark/>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807,93</w:t>
            </w:r>
          </w:p>
        </w:tc>
        <w:tc>
          <w:tcPr>
            <w:tcW w:w="660" w:type="pct"/>
            <w:tcBorders>
              <w:top w:val="nil"/>
              <w:left w:val="nil"/>
              <w:bottom w:val="nil"/>
              <w:right w:val="nil"/>
            </w:tcBorders>
            <w:noWrap/>
            <w:vAlign w:val="center"/>
            <w:hideMark/>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807,93</w:t>
            </w:r>
          </w:p>
        </w:tc>
        <w:tc>
          <w:tcPr>
            <w:tcW w:w="775" w:type="pct"/>
            <w:tcBorders>
              <w:top w:val="nil"/>
              <w:left w:val="nil"/>
              <w:bottom w:val="nil"/>
              <w:right w:val="nil"/>
            </w:tcBorders>
            <w:noWrap/>
            <w:vAlign w:val="center"/>
            <w:hideMark/>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5.967,82</w:t>
            </w:r>
          </w:p>
        </w:tc>
        <w:tc>
          <w:tcPr>
            <w:tcW w:w="772" w:type="pct"/>
            <w:tcBorders>
              <w:top w:val="nil"/>
              <w:left w:val="nil"/>
              <w:bottom w:val="nil"/>
              <w:right w:val="nil"/>
            </w:tcBorders>
            <w:noWrap/>
            <w:vAlign w:val="center"/>
            <w:hideMark/>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5.967,82</w:t>
            </w:r>
          </w:p>
        </w:tc>
      </w:tr>
      <w:tr w:rsidR="001D763A" w:rsidRPr="003C2A35" w:rsidTr="001D763A">
        <w:trPr>
          <w:trHeight w:val="283"/>
        </w:trPr>
        <w:tc>
          <w:tcPr>
            <w:tcW w:w="2106" w:type="pct"/>
            <w:tcBorders>
              <w:top w:val="nil"/>
              <w:left w:val="nil"/>
              <w:right w:val="nil"/>
            </w:tcBorders>
            <w:noWrap/>
            <w:vAlign w:val="center"/>
            <w:hideMark/>
          </w:tcPr>
          <w:p w:rsidR="001D763A" w:rsidRPr="001D763A" w:rsidRDefault="001D763A" w:rsidP="001D763A">
            <w:pPr>
              <w:spacing w:after="0" w:line="240" w:lineRule="auto"/>
              <w:rPr>
                <w:rFonts w:ascii="Arial" w:hAnsi="Arial" w:cs="Arial"/>
                <w:color w:val="000000"/>
                <w:sz w:val="18"/>
                <w:szCs w:val="18"/>
              </w:rPr>
            </w:pPr>
            <w:r w:rsidRPr="001D763A">
              <w:rPr>
                <w:rFonts w:ascii="Arial" w:hAnsi="Arial" w:cs="Arial"/>
                <w:color w:val="000000"/>
                <w:sz w:val="18"/>
                <w:szCs w:val="18"/>
              </w:rPr>
              <w:t xml:space="preserve">Deudas a corto plazo </w:t>
            </w:r>
          </w:p>
        </w:tc>
        <w:tc>
          <w:tcPr>
            <w:tcW w:w="687" w:type="pct"/>
            <w:tcBorders>
              <w:top w:val="nil"/>
              <w:left w:val="nil"/>
              <w:right w:val="nil"/>
            </w:tcBorders>
            <w:noWrap/>
            <w:vAlign w:val="center"/>
            <w:hideMark/>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60.917,46</w:t>
            </w:r>
          </w:p>
        </w:tc>
        <w:tc>
          <w:tcPr>
            <w:tcW w:w="660" w:type="pct"/>
            <w:tcBorders>
              <w:top w:val="nil"/>
              <w:left w:val="nil"/>
              <w:right w:val="nil"/>
            </w:tcBorders>
            <w:noWrap/>
            <w:vAlign w:val="center"/>
            <w:hideMark/>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60.917,46</w:t>
            </w:r>
          </w:p>
        </w:tc>
        <w:tc>
          <w:tcPr>
            <w:tcW w:w="775" w:type="pct"/>
            <w:tcBorders>
              <w:top w:val="nil"/>
              <w:left w:val="nil"/>
              <w:right w:val="nil"/>
            </w:tcBorders>
            <w:noWrap/>
            <w:vAlign w:val="center"/>
            <w:hideMark/>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w:t>
            </w:r>
          </w:p>
        </w:tc>
        <w:tc>
          <w:tcPr>
            <w:tcW w:w="772" w:type="pct"/>
            <w:tcBorders>
              <w:top w:val="nil"/>
              <w:left w:val="nil"/>
              <w:right w:val="nil"/>
            </w:tcBorders>
            <w:noWrap/>
            <w:vAlign w:val="center"/>
            <w:hideMark/>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w:t>
            </w:r>
          </w:p>
        </w:tc>
      </w:tr>
      <w:tr w:rsidR="001D763A" w:rsidRPr="003C2A35" w:rsidTr="001D763A">
        <w:trPr>
          <w:trHeight w:val="283"/>
        </w:trPr>
        <w:tc>
          <w:tcPr>
            <w:tcW w:w="2106" w:type="pct"/>
            <w:tcBorders>
              <w:top w:val="nil"/>
              <w:left w:val="nil"/>
              <w:right w:val="nil"/>
            </w:tcBorders>
            <w:noWrap/>
            <w:vAlign w:val="center"/>
          </w:tcPr>
          <w:p w:rsidR="001D763A" w:rsidRPr="001D763A" w:rsidRDefault="001D763A" w:rsidP="001D763A">
            <w:pPr>
              <w:spacing w:after="0" w:line="240" w:lineRule="auto"/>
              <w:rPr>
                <w:rFonts w:ascii="Arial" w:hAnsi="Arial" w:cs="Arial"/>
                <w:color w:val="000000"/>
                <w:sz w:val="18"/>
                <w:szCs w:val="18"/>
              </w:rPr>
            </w:pPr>
            <w:r w:rsidRPr="001D763A">
              <w:rPr>
                <w:rFonts w:ascii="Arial" w:hAnsi="Arial" w:cs="Arial"/>
                <w:color w:val="000000"/>
                <w:sz w:val="18"/>
                <w:szCs w:val="18"/>
              </w:rPr>
              <w:t>Acreedores empresas del grupo</w:t>
            </w:r>
          </w:p>
        </w:tc>
        <w:tc>
          <w:tcPr>
            <w:tcW w:w="687" w:type="pct"/>
            <w:tcBorders>
              <w:top w:val="nil"/>
              <w:left w:val="nil"/>
              <w:right w:val="nil"/>
            </w:tcBorders>
            <w:noWrap/>
            <w:vAlign w:val="center"/>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199.988,40</w:t>
            </w:r>
          </w:p>
        </w:tc>
        <w:tc>
          <w:tcPr>
            <w:tcW w:w="660" w:type="pct"/>
            <w:tcBorders>
              <w:top w:val="nil"/>
              <w:left w:val="nil"/>
              <w:right w:val="nil"/>
            </w:tcBorders>
            <w:noWrap/>
            <w:vAlign w:val="center"/>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206.299,20</w:t>
            </w:r>
          </w:p>
        </w:tc>
        <w:tc>
          <w:tcPr>
            <w:tcW w:w="775" w:type="pct"/>
            <w:tcBorders>
              <w:top w:val="nil"/>
              <w:left w:val="nil"/>
              <w:right w:val="nil"/>
            </w:tcBorders>
            <w:noWrap/>
            <w:vAlign w:val="center"/>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78.520,69</w:t>
            </w:r>
          </w:p>
        </w:tc>
        <w:tc>
          <w:tcPr>
            <w:tcW w:w="772" w:type="pct"/>
            <w:tcBorders>
              <w:top w:val="nil"/>
              <w:left w:val="nil"/>
              <w:right w:val="nil"/>
            </w:tcBorders>
            <w:noWrap/>
            <w:vAlign w:val="center"/>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78.520,69</w:t>
            </w:r>
          </w:p>
        </w:tc>
      </w:tr>
      <w:tr w:rsidR="001D763A" w:rsidRPr="003C2A35" w:rsidTr="001D763A">
        <w:trPr>
          <w:trHeight w:val="283"/>
        </w:trPr>
        <w:tc>
          <w:tcPr>
            <w:tcW w:w="2106" w:type="pct"/>
            <w:tcBorders>
              <w:left w:val="nil"/>
              <w:bottom w:val="single" w:sz="4" w:space="0" w:color="auto"/>
              <w:right w:val="nil"/>
            </w:tcBorders>
            <w:noWrap/>
            <w:vAlign w:val="center"/>
            <w:hideMark/>
          </w:tcPr>
          <w:p w:rsidR="001D763A" w:rsidRPr="001D763A" w:rsidRDefault="001D763A" w:rsidP="001D763A">
            <w:pPr>
              <w:spacing w:after="0" w:line="240" w:lineRule="auto"/>
              <w:rPr>
                <w:rFonts w:ascii="Arial" w:hAnsi="Arial" w:cs="Arial"/>
                <w:color w:val="000000"/>
                <w:sz w:val="18"/>
                <w:szCs w:val="18"/>
              </w:rPr>
            </w:pPr>
            <w:r w:rsidRPr="001D763A">
              <w:rPr>
                <w:rFonts w:ascii="Arial" w:hAnsi="Arial" w:cs="Arial"/>
                <w:color w:val="000000"/>
                <w:sz w:val="18"/>
                <w:szCs w:val="18"/>
              </w:rPr>
              <w:t xml:space="preserve">Acreedores, Eª del grupo, facturas </w:t>
            </w:r>
            <w:proofErr w:type="spellStart"/>
            <w:r w:rsidRPr="001D763A">
              <w:rPr>
                <w:rFonts w:ascii="Arial" w:hAnsi="Arial" w:cs="Arial"/>
                <w:color w:val="000000"/>
                <w:sz w:val="18"/>
                <w:szCs w:val="18"/>
              </w:rPr>
              <w:t>pdtes.recibir</w:t>
            </w:r>
            <w:proofErr w:type="spellEnd"/>
          </w:p>
        </w:tc>
        <w:tc>
          <w:tcPr>
            <w:tcW w:w="687" w:type="pct"/>
            <w:tcBorders>
              <w:left w:val="nil"/>
              <w:bottom w:val="single" w:sz="4" w:space="0" w:color="auto"/>
              <w:right w:val="nil"/>
            </w:tcBorders>
            <w:noWrap/>
            <w:vAlign w:val="center"/>
            <w:hideMark/>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5.765,39</w:t>
            </w:r>
          </w:p>
        </w:tc>
        <w:tc>
          <w:tcPr>
            <w:tcW w:w="660" w:type="pct"/>
            <w:tcBorders>
              <w:left w:val="nil"/>
              <w:bottom w:val="single" w:sz="4" w:space="0" w:color="auto"/>
              <w:right w:val="nil"/>
            </w:tcBorders>
            <w:noWrap/>
            <w:vAlign w:val="center"/>
            <w:hideMark/>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w:t>
            </w:r>
          </w:p>
        </w:tc>
        <w:tc>
          <w:tcPr>
            <w:tcW w:w="775" w:type="pct"/>
            <w:tcBorders>
              <w:left w:val="nil"/>
              <w:bottom w:val="single" w:sz="4" w:space="0" w:color="auto"/>
              <w:right w:val="nil"/>
            </w:tcBorders>
            <w:noWrap/>
            <w:vAlign w:val="center"/>
            <w:hideMark/>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w:t>
            </w:r>
          </w:p>
        </w:tc>
        <w:tc>
          <w:tcPr>
            <w:tcW w:w="772" w:type="pct"/>
            <w:tcBorders>
              <w:left w:val="nil"/>
              <w:bottom w:val="single" w:sz="4" w:space="0" w:color="auto"/>
              <w:right w:val="nil"/>
            </w:tcBorders>
            <w:noWrap/>
            <w:vAlign w:val="center"/>
            <w:hideMark/>
          </w:tcPr>
          <w:p w:rsidR="001D763A" w:rsidRPr="001D763A" w:rsidRDefault="001D763A" w:rsidP="001D763A">
            <w:pPr>
              <w:spacing w:after="0" w:line="240" w:lineRule="auto"/>
              <w:jc w:val="right"/>
              <w:rPr>
                <w:rFonts w:ascii="Arial" w:hAnsi="Arial" w:cs="Arial"/>
                <w:color w:val="000000"/>
                <w:sz w:val="18"/>
                <w:szCs w:val="18"/>
              </w:rPr>
            </w:pPr>
            <w:r w:rsidRPr="001D763A">
              <w:rPr>
                <w:rFonts w:ascii="Arial" w:hAnsi="Arial" w:cs="Arial"/>
                <w:color w:val="000000"/>
                <w:sz w:val="18"/>
                <w:szCs w:val="18"/>
              </w:rPr>
              <w:t>-</w:t>
            </w:r>
          </w:p>
        </w:tc>
      </w:tr>
      <w:tr w:rsidR="003C2A35" w:rsidRPr="003C2A35" w:rsidTr="0020061C">
        <w:trPr>
          <w:trHeight w:val="68"/>
        </w:trPr>
        <w:tc>
          <w:tcPr>
            <w:tcW w:w="2106" w:type="pct"/>
            <w:tcBorders>
              <w:top w:val="single" w:sz="4" w:space="0" w:color="auto"/>
              <w:left w:val="nil"/>
              <w:right w:val="nil"/>
            </w:tcBorders>
            <w:shd w:val="clear" w:color="auto" w:fill="F2F2F2" w:themeFill="background1" w:themeFillShade="F2"/>
            <w:noWrap/>
            <w:vAlign w:val="center"/>
          </w:tcPr>
          <w:p w:rsidR="003C2A35" w:rsidRPr="003C2A35" w:rsidRDefault="003C2A35" w:rsidP="003C2A35">
            <w:pPr>
              <w:spacing w:after="0" w:line="240" w:lineRule="auto"/>
              <w:rPr>
                <w:rFonts w:ascii="Arial" w:hAnsi="Arial" w:cs="Arial"/>
                <w:color w:val="000000"/>
                <w:sz w:val="18"/>
                <w:szCs w:val="18"/>
              </w:rPr>
            </w:pPr>
          </w:p>
        </w:tc>
        <w:tc>
          <w:tcPr>
            <w:tcW w:w="687" w:type="pct"/>
            <w:tcBorders>
              <w:top w:val="single" w:sz="4" w:space="0" w:color="auto"/>
              <w:left w:val="nil"/>
              <w:right w:val="nil"/>
            </w:tcBorders>
            <w:shd w:val="clear" w:color="auto" w:fill="F2F2F2" w:themeFill="background1" w:themeFillShade="F2"/>
            <w:noWrap/>
            <w:vAlign w:val="center"/>
          </w:tcPr>
          <w:p w:rsidR="003C2A35" w:rsidRPr="003C2A35" w:rsidRDefault="003C2A35" w:rsidP="003C2A35">
            <w:pPr>
              <w:spacing w:after="0" w:line="240" w:lineRule="auto"/>
              <w:jc w:val="right"/>
              <w:rPr>
                <w:rFonts w:ascii="Arial" w:hAnsi="Arial" w:cs="Arial"/>
                <w:color w:val="000000"/>
                <w:sz w:val="18"/>
                <w:szCs w:val="18"/>
              </w:rPr>
            </w:pPr>
          </w:p>
        </w:tc>
        <w:tc>
          <w:tcPr>
            <w:tcW w:w="660" w:type="pct"/>
            <w:tcBorders>
              <w:top w:val="single" w:sz="4" w:space="0" w:color="auto"/>
              <w:left w:val="nil"/>
              <w:right w:val="nil"/>
            </w:tcBorders>
            <w:shd w:val="clear" w:color="auto" w:fill="F2F2F2" w:themeFill="background1" w:themeFillShade="F2"/>
            <w:noWrap/>
            <w:vAlign w:val="center"/>
          </w:tcPr>
          <w:p w:rsidR="003C2A35" w:rsidRPr="003C2A35" w:rsidRDefault="003C2A35" w:rsidP="003C2A35">
            <w:pPr>
              <w:spacing w:after="0" w:line="240" w:lineRule="auto"/>
              <w:jc w:val="right"/>
              <w:rPr>
                <w:rFonts w:ascii="Arial" w:hAnsi="Arial" w:cs="Arial"/>
                <w:color w:val="000000"/>
                <w:sz w:val="18"/>
                <w:szCs w:val="18"/>
              </w:rPr>
            </w:pPr>
          </w:p>
        </w:tc>
        <w:tc>
          <w:tcPr>
            <w:tcW w:w="775" w:type="pct"/>
            <w:tcBorders>
              <w:top w:val="single" w:sz="4" w:space="0" w:color="auto"/>
              <w:left w:val="nil"/>
              <w:right w:val="nil"/>
            </w:tcBorders>
            <w:shd w:val="clear" w:color="auto" w:fill="F2F2F2" w:themeFill="background1" w:themeFillShade="F2"/>
            <w:noWrap/>
            <w:vAlign w:val="center"/>
          </w:tcPr>
          <w:p w:rsidR="003C2A35" w:rsidRPr="003C2A35" w:rsidRDefault="003C2A35" w:rsidP="003C2A35">
            <w:pPr>
              <w:spacing w:after="0" w:line="240" w:lineRule="auto"/>
              <w:jc w:val="right"/>
              <w:rPr>
                <w:rFonts w:ascii="Arial" w:hAnsi="Arial" w:cs="Arial"/>
                <w:color w:val="000000"/>
                <w:sz w:val="18"/>
                <w:szCs w:val="18"/>
              </w:rPr>
            </w:pPr>
          </w:p>
        </w:tc>
        <w:tc>
          <w:tcPr>
            <w:tcW w:w="772" w:type="pct"/>
            <w:tcBorders>
              <w:top w:val="single" w:sz="4" w:space="0" w:color="auto"/>
              <w:left w:val="nil"/>
              <w:right w:val="nil"/>
            </w:tcBorders>
            <w:shd w:val="clear" w:color="auto" w:fill="F2F2F2" w:themeFill="background1" w:themeFillShade="F2"/>
            <w:noWrap/>
            <w:vAlign w:val="center"/>
          </w:tcPr>
          <w:p w:rsidR="003C2A35" w:rsidRPr="003C2A35" w:rsidRDefault="003C2A35" w:rsidP="003C2A35">
            <w:pPr>
              <w:spacing w:after="0" w:line="240" w:lineRule="auto"/>
              <w:jc w:val="right"/>
              <w:rPr>
                <w:rFonts w:ascii="Arial" w:hAnsi="Arial" w:cs="Arial"/>
                <w:color w:val="000000"/>
                <w:sz w:val="18"/>
                <w:szCs w:val="18"/>
              </w:rPr>
            </w:pPr>
          </w:p>
        </w:tc>
      </w:tr>
    </w:tbl>
    <w:p w:rsidR="008D7833" w:rsidRPr="007D67E2" w:rsidRDefault="008D7833" w:rsidP="0020061C">
      <w:pPr>
        <w:pStyle w:val="Default"/>
        <w:widowControl/>
        <w:autoSpaceDE/>
        <w:autoSpaceDN/>
        <w:adjustRightInd/>
        <w:spacing w:before="120" w:after="120" w:line="260" w:lineRule="exact"/>
        <w:jc w:val="both"/>
        <w:rPr>
          <w:rFonts w:ascii="Arial" w:hAnsi="Arial" w:cs="Arial"/>
          <w:sz w:val="20"/>
          <w:szCs w:val="20"/>
        </w:rPr>
      </w:pPr>
      <w:r w:rsidRPr="007D67E2">
        <w:rPr>
          <w:rFonts w:ascii="Arial" w:hAnsi="Arial" w:cs="Arial"/>
          <w:sz w:val="20"/>
          <w:szCs w:val="20"/>
        </w:rPr>
        <w:t xml:space="preserve">El saldo de “clientes por ventas” por importe de </w:t>
      </w:r>
      <w:r w:rsidR="00F463E6" w:rsidRPr="007D67E2">
        <w:rPr>
          <w:rFonts w:ascii="Arial" w:hAnsi="Arial" w:cs="Arial"/>
          <w:sz w:val="20"/>
          <w:szCs w:val="20"/>
        </w:rPr>
        <w:t>4.481.000,00</w:t>
      </w:r>
      <w:r w:rsidRPr="007D67E2">
        <w:rPr>
          <w:rFonts w:ascii="Arial" w:hAnsi="Arial" w:cs="Arial"/>
          <w:sz w:val="20"/>
          <w:szCs w:val="20"/>
        </w:rPr>
        <w:t xml:space="preserve"> euros (</w:t>
      </w:r>
      <w:r w:rsidR="00F463E6" w:rsidRPr="007D67E2">
        <w:rPr>
          <w:rFonts w:ascii="Arial" w:hAnsi="Arial" w:cs="Arial"/>
          <w:sz w:val="20"/>
          <w:szCs w:val="20"/>
        </w:rPr>
        <w:t xml:space="preserve">3.197.000,00 </w:t>
      </w:r>
      <w:r w:rsidRPr="007D67E2">
        <w:rPr>
          <w:rFonts w:ascii="Arial" w:hAnsi="Arial" w:cs="Arial"/>
          <w:sz w:val="20"/>
          <w:szCs w:val="20"/>
        </w:rPr>
        <w:t xml:space="preserve">euros </w:t>
      </w:r>
      <w:r w:rsidR="002767D9" w:rsidRPr="007D67E2">
        <w:rPr>
          <w:rFonts w:ascii="Arial" w:hAnsi="Arial" w:cs="Arial"/>
          <w:sz w:val="20"/>
          <w:szCs w:val="20"/>
        </w:rPr>
        <w:t>en 2019</w:t>
      </w:r>
      <w:r w:rsidRPr="007D67E2">
        <w:rPr>
          <w:rFonts w:ascii="Arial" w:hAnsi="Arial" w:cs="Arial"/>
          <w:sz w:val="20"/>
          <w:szCs w:val="20"/>
        </w:rPr>
        <w:t xml:space="preserve">) se corresponde con el alquiler mantenido con </w:t>
      </w:r>
      <w:proofErr w:type="spellStart"/>
      <w:r w:rsidRPr="007D67E2">
        <w:rPr>
          <w:rFonts w:ascii="Arial" w:hAnsi="Arial" w:cs="Arial"/>
          <w:sz w:val="20"/>
          <w:szCs w:val="20"/>
        </w:rPr>
        <w:t>Canalink</w:t>
      </w:r>
      <w:proofErr w:type="spellEnd"/>
      <w:r w:rsidRPr="007D67E2">
        <w:rPr>
          <w:rFonts w:ascii="Arial" w:hAnsi="Arial" w:cs="Arial"/>
          <w:sz w:val="20"/>
          <w:szCs w:val="20"/>
        </w:rPr>
        <w:t xml:space="preserve"> por la cesión de derechos en sistema submarino internacional.</w:t>
      </w:r>
    </w:p>
    <w:p w:rsidR="00FD6B58" w:rsidRPr="00C67C91" w:rsidRDefault="00FD6B58" w:rsidP="0020061C">
      <w:pPr>
        <w:pStyle w:val="Default"/>
        <w:widowControl/>
        <w:autoSpaceDE/>
        <w:autoSpaceDN/>
        <w:adjustRightInd/>
        <w:spacing w:before="120" w:after="120" w:line="260" w:lineRule="exact"/>
        <w:jc w:val="both"/>
        <w:rPr>
          <w:rFonts w:ascii="Arial" w:hAnsi="Arial" w:cs="Arial"/>
          <w:sz w:val="20"/>
          <w:szCs w:val="20"/>
        </w:rPr>
      </w:pPr>
      <w:r w:rsidRPr="007D67E2">
        <w:rPr>
          <w:rFonts w:ascii="Arial" w:hAnsi="Arial" w:cs="Arial"/>
          <w:sz w:val="20"/>
          <w:szCs w:val="20"/>
        </w:rPr>
        <w:lastRenderedPageBreak/>
        <w:t>Las “deudas a corto plazo” por importe de 60.91</w:t>
      </w:r>
      <w:r w:rsidR="00293CE7" w:rsidRPr="007D67E2">
        <w:rPr>
          <w:rFonts w:ascii="Arial" w:hAnsi="Arial" w:cs="Arial"/>
          <w:sz w:val="20"/>
          <w:szCs w:val="20"/>
        </w:rPr>
        <w:t>7</w:t>
      </w:r>
      <w:r w:rsidRPr="007D67E2">
        <w:rPr>
          <w:rFonts w:ascii="Arial" w:hAnsi="Arial" w:cs="Arial"/>
          <w:sz w:val="20"/>
          <w:szCs w:val="20"/>
        </w:rPr>
        <w:t>,</w:t>
      </w:r>
      <w:r w:rsidR="00293CE7" w:rsidRPr="007D67E2">
        <w:rPr>
          <w:rFonts w:ascii="Arial" w:hAnsi="Arial" w:cs="Arial"/>
          <w:sz w:val="20"/>
          <w:szCs w:val="20"/>
        </w:rPr>
        <w:t>46</w:t>
      </w:r>
      <w:r w:rsidRPr="007D67E2">
        <w:rPr>
          <w:rFonts w:ascii="Arial" w:hAnsi="Arial" w:cs="Arial"/>
          <w:sz w:val="20"/>
          <w:szCs w:val="20"/>
        </w:rPr>
        <w:t xml:space="preserve"> euros (</w:t>
      </w:r>
      <w:r w:rsidR="00F463E6" w:rsidRPr="007D67E2">
        <w:rPr>
          <w:rFonts w:ascii="Arial" w:hAnsi="Arial" w:cs="Arial"/>
          <w:sz w:val="20"/>
          <w:szCs w:val="20"/>
        </w:rPr>
        <w:t>60.917,</w:t>
      </w:r>
      <w:r w:rsidR="002767D9" w:rsidRPr="007D67E2">
        <w:rPr>
          <w:rFonts w:ascii="Arial" w:hAnsi="Arial" w:cs="Arial"/>
          <w:sz w:val="20"/>
          <w:szCs w:val="20"/>
        </w:rPr>
        <w:t xml:space="preserve"> 00 euros en 2019</w:t>
      </w:r>
      <w:r w:rsidRPr="007D67E2">
        <w:rPr>
          <w:rFonts w:ascii="Arial" w:hAnsi="Arial" w:cs="Arial"/>
          <w:sz w:val="20"/>
          <w:szCs w:val="20"/>
        </w:rPr>
        <w:t>) corresponde a los créditos fiscales que la Sociedad mantiene con la matriz por deducciones generadas y aplicadas</w:t>
      </w:r>
      <w:r w:rsidR="007D67E2" w:rsidRPr="007D67E2">
        <w:rPr>
          <w:rFonts w:ascii="Arial" w:hAnsi="Arial" w:cs="Arial"/>
          <w:sz w:val="20"/>
          <w:szCs w:val="20"/>
        </w:rPr>
        <w:t xml:space="preserve"> por esta.</w:t>
      </w:r>
    </w:p>
    <w:p w:rsidR="00A20D7F" w:rsidRPr="00C67C91" w:rsidRDefault="00FD6B58" w:rsidP="0020061C">
      <w:pPr>
        <w:pStyle w:val="CM20"/>
        <w:widowControl/>
        <w:autoSpaceDE/>
        <w:autoSpaceDN/>
        <w:adjustRightInd/>
        <w:spacing w:before="120" w:after="120" w:line="260" w:lineRule="exact"/>
        <w:jc w:val="both"/>
        <w:rPr>
          <w:rFonts w:ascii="Arial" w:hAnsi="Arial" w:cs="Arial"/>
          <w:sz w:val="20"/>
          <w:szCs w:val="20"/>
        </w:rPr>
      </w:pPr>
      <w:r w:rsidRPr="00C67C91">
        <w:rPr>
          <w:rFonts w:ascii="Arial" w:hAnsi="Arial" w:cs="Arial"/>
          <w:sz w:val="20"/>
          <w:szCs w:val="20"/>
        </w:rPr>
        <w:t xml:space="preserve">Los </w:t>
      </w:r>
      <w:r w:rsidR="008D7833" w:rsidRPr="00C67C91">
        <w:rPr>
          <w:rFonts w:ascii="Arial" w:hAnsi="Arial" w:cs="Arial"/>
          <w:sz w:val="20"/>
          <w:szCs w:val="20"/>
        </w:rPr>
        <w:t>saldos de acreedores con empresas del grupo se corresponden</w:t>
      </w:r>
      <w:r w:rsidR="00A20D7F" w:rsidRPr="00C67C91">
        <w:rPr>
          <w:rFonts w:ascii="Arial" w:hAnsi="Arial" w:cs="Arial"/>
          <w:sz w:val="20"/>
          <w:szCs w:val="20"/>
        </w:rPr>
        <w:t xml:space="preserve"> con empresas vinculadas por los servicios prestados por empresas del grupo, principalmente en la fase de puesta en marcha y despliegue de proyecto</w:t>
      </w:r>
      <w:r w:rsidR="008D7833" w:rsidRPr="00C67C91">
        <w:rPr>
          <w:rFonts w:ascii="Arial" w:hAnsi="Arial" w:cs="Arial"/>
          <w:sz w:val="20"/>
          <w:szCs w:val="20"/>
        </w:rPr>
        <w:t>.</w:t>
      </w:r>
    </w:p>
    <w:p w:rsidR="00A20D7F" w:rsidRPr="00C67C91" w:rsidRDefault="00A20D7F" w:rsidP="0020061C">
      <w:pPr>
        <w:pStyle w:val="CM20"/>
        <w:widowControl/>
        <w:autoSpaceDE/>
        <w:autoSpaceDN/>
        <w:adjustRightInd/>
        <w:spacing w:before="120" w:after="120" w:line="260" w:lineRule="exact"/>
        <w:jc w:val="both"/>
        <w:rPr>
          <w:rFonts w:ascii="Arial" w:hAnsi="Arial" w:cs="Arial"/>
          <w:sz w:val="20"/>
          <w:szCs w:val="20"/>
        </w:rPr>
      </w:pPr>
      <w:r w:rsidRPr="00C67C91">
        <w:rPr>
          <w:rFonts w:ascii="Arial" w:hAnsi="Arial" w:cs="Arial"/>
          <w:sz w:val="20"/>
          <w:szCs w:val="20"/>
        </w:rPr>
        <w:t>Las transacciones realizadas con las sociedades vinculadas o consideradas grupo, se han realizado a precios normales de mercado, en las mismas condiciones que las realiza</w:t>
      </w:r>
      <w:r w:rsidR="007D67E2">
        <w:rPr>
          <w:rFonts w:ascii="Arial" w:hAnsi="Arial" w:cs="Arial"/>
          <w:sz w:val="20"/>
          <w:szCs w:val="20"/>
        </w:rPr>
        <w:t>das con terceros independientes</w:t>
      </w:r>
    </w:p>
    <w:p w:rsidR="00336822" w:rsidRPr="0050194F" w:rsidRDefault="00336822" w:rsidP="0020061C">
      <w:pPr>
        <w:pStyle w:val="CM20"/>
        <w:spacing w:before="120" w:after="120"/>
        <w:rPr>
          <w:rFonts w:ascii="Arial" w:hAnsi="Arial" w:cs="Arial"/>
          <w:b/>
          <w:sz w:val="20"/>
          <w:szCs w:val="20"/>
        </w:rPr>
      </w:pPr>
      <w:r w:rsidRPr="0050194F">
        <w:rPr>
          <w:rFonts w:ascii="Arial" w:hAnsi="Arial" w:cs="Arial"/>
          <w:b/>
          <w:sz w:val="20"/>
          <w:szCs w:val="20"/>
          <w:u w:val="single"/>
        </w:rPr>
        <w:t>Transacciones con el personal de alta dirección</w:t>
      </w:r>
    </w:p>
    <w:p w:rsidR="00336822" w:rsidRPr="0050194F" w:rsidRDefault="00336822" w:rsidP="0020061C">
      <w:pPr>
        <w:pStyle w:val="CM20"/>
        <w:spacing w:before="120" w:after="120"/>
        <w:rPr>
          <w:rFonts w:ascii="Arial" w:hAnsi="Arial" w:cs="Arial"/>
          <w:sz w:val="20"/>
          <w:szCs w:val="20"/>
          <w:u w:val="single"/>
        </w:rPr>
      </w:pPr>
      <w:r w:rsidRPr="0050194F">
        <w:rPr>
          <w:rFonts w:ascii="Arial" w:hAnsi="Arial" w:cs="Arial"/>
          <w:sz w:val="20"/>
          <w:szCs w:val="20"/>
          <w:u w:val="single"/>
        </w:rPr>
        <w:t>Retribución a los miembr</w:t>
      </w:r>
      <w:r w:rsidR="0050194F">
        <w:rPr>
          <w:rFonts w:ascii="Arial" w:hAnsi="Arial" w:cs="Arial"/>
          <w:sz w:val="20"/>
          <w:szCs w:val="20"/>
          <w:u w:val="single"/>
        </w:rPr>
        <w:t>os del órgano de Administración</w:t>
      </w:r>
    </w:p>
    <w:p w:rsidR="00336822" w:rsidRPr="00C67C91" w:rsidRDefault="00336822" w:rsidP="0020061C">
      <w:pPr>
        <w:pStyle w:val="CM23"/>
        <w:widowControl/>
        <w:autoSpaceDE/>
        <w:autoSpaceDN/>
        <w:adjustRightInd/>
        <w:spacing w:before="120" w:after="120" w:line="260" w:lineRule="exact"/>
        <w:jc w:val="both"/>
        <w:rPr>
          <w:rFonts w:ascii="Arial" w:hAnsi="Arial" w:cs="Arial"/>
          <w:sz w:val="20"/>
          <w:szCs w:val="20"/>
        </w:rPr>
      </w:pPr>
      <w:r w:rsidRPr="00C67C91">
        <w:rPr>
          <w:rFonts w:ascii="Arial" w:hAnsi="Arial" w:cs="Arial"/>
          <w:sz w:val="20"/>
          <w:szCs w:val="20"/>
        </w:rPr>
        <w:t xml:space="preserve">Los miembros del órgano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 </w:t>
      </w:r>
    </w:p>
    <w:p w:rsidR="00336822" w:rsidRPr="00C67C91" w:rsidRDefault="00336822" w:rsidP="00203EFC">
      <w:pPr>
        <w:pStyle w:val="CM20"/>
        <w:spacing w:before="240" w:after="120"/>
        <w:ind w:left="284" w:hanging="284"/>
        <w:jc w:val="both"/>
        <w:rPr>
          <w:rFonts w:ascii="Arial" w:hAnsi="Arial" w:cs="Arial"/>
          <w:b/>
          <w:bCs/>
          <w:sz w:val="20"/>
          <w:szCs w:val="20"/>
        </w:rPr>
      </w:pPr>
      <w:r w:rsidRPr="00C67C91">
        <w:rPr>
          <w:rFonts w:ascii="Arial" w:hAnsi="Arial" w:cs="Arial"/>
          <w:b/>
          <w:bCs/>
          <w:sz w:val="20"/>
          <w:szCs w:val="20"/>
        </w:rPr>
        <w:t>10.-</w:t>
      </w:r>
      <w:r w:rsidR="00203EFC">
        <w:rPr>
          <w:rFonts w:ascii="Arial" w:hAnsi="Arial" w:cs="Arial"/>
          <w:b/>
          <w:bCs/>
          <w:sz w:val="20"/>
          <w:szCs w:val="20"/>
        </w:rPr>
        <w:t xml:space="preserve"> </w:t>
      </w:r>
      <w:r w:rsidRPr="00C67C91">
        <w:rPr>
          <w:rFonts w:ascii="Arial" w:hAnsi="Arial" w:cs="Arial"/>
          <w:b/>
          <w:bCs/>
          <w:sz w:val="20"/>
          <w:szCs w:val="20"/>
        </w:rPr>
        <w:t xml:space="preserve">INGRESOS Y GASTOS </w:t>
      </w:r>
    </w:p>
    <w:p w:rsidR="00BF6792" w:rsidRPr="00C67C91" w:rsidRDefault="00336822" w:rsidP="00A02770">
      <w:pPr>
        <w:pStyle w:val="CM25"/>
        <w:spacing w:after="160"/>
        <w:rPr>
          <w:rFonts w:ascii="Arial" w:hAnsi="Arial" w:cs="Arial"/>
          <w:b/>
          <w:bCs/>
          <w:sz w:val="20"/>
          <w:szCs w:val="20"/>
          <w:u w:val="single"/>
        </w:rPr>
      </w:pPr>
      <w:r w:rsidRPr="00C67C91">
        <w:rPr>
          <w:rFonts w:ascii="Arial" w:hAnsi="Arial" w:cs="Arial"/>
          <w:b/>
          <w:bCs/>
          <w:sz w:val="20"/>
          <w:szCs w:val="20"/>
          <w:u w:val="single"/>
        </w:rPr>
        <w:t>Aprovisionamientos</w:t>
      </w:r>
    </w:p>
    <w:p w:rsidR="00BF6792" w:rsidRPr="00C67C91" w:rsidRDefault="00336822" w:rsidP="0020061C">
      <w:pPr>
        <w:pStyle w:val="CM25"/>
        <w:widowControl/>
        <w:autoSpaceDE/>
        <w:autoSpaceDN/>
        <w:adjustRightInd/>
        <w:spacing w:before="120" w:after="120" w:line="260" w:lineRule="exact"/>
        <w:jc w:val="both"/>
        <w:rPr>
          <w:rFonts w:ascii="Arial" w:hAnsi="Arial" w:cs="Arial"/>
          <w:sz w:val="20"/>
          <w:szCs w:val="20"/>
        </w:rPr>
      </w:pPr>
      <w:r w:rsidRPr="00C67C91">
        <w:rPr>
          <w:rFonts w:ascii="Arial" w:hAnsi="Arial" w:cs="Arial"/>
          <w:sz w:val="20"/>
          <w:szCs w:val="20"/>
        </w:rPr>
        <w:t xml:space="preserve">La </w:t>
      </w:r>
      <w:r w:rsidR="0050194F">
        <w:rPr>
          <w:rFonts w:ascii="Arial" w:hAnsi="Arial" w:cs="Arial"/>
          <w:sz w:val="20"/>
          <w:szCs w:val="20"/>
        </w:rPr>
        <w:t xml:space="preserve">Sociedad no ha contabilizado gastos </w:t>
      </w:r>
      <w:r w:rsidRPr="00C67C91">
        <w:rPr>
          <w:rFonts w:ascii="Arial" w:hAnsi="Arial" w:cs="Arial"/>
          <w:sz w:val="20"/>
          <w:szCs w:val="20"/>
        </w:rPr>
        <w:t xml:space="preserve">de aprovisionamientos </w:t>
      </w:r>
      <w:r w:rsidR="00BF6792" w:rsidRPr="00C67C91">
        <w:rPr>
          <w:rFonts w:ascii="Arial" w:hAnsi="Arial" w:cs="Arial"/>
          <w:sz w:val="20"/>
          <w:szCs w:val="20"/>
        </w:rPr>
        <w:t xml:space="preserve">en </w:t>
      </w:r>
      <w:r w:rsidR="0050194F">
        <w:rPr>
          <w:rFonts w:ascii="Arial" w:hAnsi="Arial" w:cs="Arial"/>
          <w:sz w:val="20"/>
          <w:szCs w:val="20"/>
        </w:rPr>
        <w:t>los</w:t>
      </w:r>
      <w:r w:rsidR="00BF6792" w:rsidRPr="00C67C91">
        <w:rPr>
          <w:rFonts w:ascii="Arial" w:hAnsi="Arial" w:cs="Arial"/>
          <w:sz w:val="20"/>
          <w:szCs w:val="20"/>
        </w:rPr>
        <w:t xml:space="preserve"> ejercicio</w:t>
      </w:r>
      <w:r w:rsidR="0050194F">
        <w:rPr>
          <w:rFonts w:ascii="Arial" w:hAnsi="Arial" w:cs="Arial"/>
          <w:sz w:val="20"/>
          <w:szCs w:val="20"/>
        </w:rPr>
        <w:t>s</w:t>
      </w:r>
      <w:r w:rsidR="00BF6792" w:rsidRPr="00C67C91">
        <w:rPr>
          <w:rFonts w:ascii="Arial" w:hAnsi="Arial" w:cs="Arial"/>
          <w:sz w:val="20"/>
          <w:szCs w:val="20"/>
        </w:rPr>
        <w:t xml:space="preserve"> 20</w:t>
      </w:r>
      <w:r w:rsidR="00E37520" w:rsidRPr="00C67C91">
        <w:rPr>
          <w:rFonts w:ascii="Arial" w:hAnsi="Arial" w:cs="Arial"/>
          <w:sz w:val="20"/>
          <w:szCs w:val="20"/>
        </w:rPr>
        <w:t>20</w:t>
      </w:r>
      <w:r w:rsidR="00BF6792" w:rsidRPr="00C67C91">
        <w:rPr>
          <w:rFonts w:ascii="Arial" w:hAnsi="Arial" w:cs="Arial"/>
          <w:sz w:val="20"/>
          <w:szCs w:val="20"/>
        </w:rPr>
        <w:t xml:space="preserve"> y 201</w:t>
      </w:r>
      <w:r w:rsidR="00E37520" w:rsidRPr="00C67C91">
        <w:rPr>
          <w:rFonts w:ascii="Arial" w:hAnsi="Arial" w:cs="Arial"/>
          <w:sz w:val="20"/>
          <w:szCs w:val="20"/>
        </w:rPr>
        <w:t>9</w:t>
      </w:r>
      <w:r w:rsidR="005D097D" w:rsidRPr="00C67C91">
        <w:rPr>
          <w:rFonts w:ascii="Arial" w:hAnsi="Arial" w:cs="Arial"/>
          <w:sz w:val="20"/>
          <w:szCs w:val="20"/>
        </w:rPr>
        <w:t>.</w:t>
      </w:r>
    </w:p>
    <w:p w:rsidR="005D097D" w:rsidRPr="00C67C91" w:rsidRDefault="00336822" w:rsidP="00A02770">
      <w:pPr>
        <w:pStyle w:val="CM25"/>
        <w:spacing w:after="160"/>
        <w:rPr>
          <w:rFonts w:ascii="Arial" w:hAnsi="Arial" w:cs="Arial"/>
          <w:b/>
          <w:bCs/>
          <w:sz w:val="20"/>
          <w:szCs w:val="20"/>
          <w:u w:val="single"/>
        </w:rPr>
      </w:pPr>
      <w:r w:rsidRPr="00C67C91">
        <w:rPr>
          <w:rFonts w:ascii="Arial" w:hAnsi="Arial" w:cs="Arial"/>
          <w:b/>
          <w:bCs/>
          <w:sz w:val="20"/>
          <w:szCs w:val="20"/>
          <w:u w:val="single"/>
        </w:rPr>
        <w:t>Otros gastos de explotación</w:t>
      </w:r>
    </w:p>
    <w:p w:rsidR="00336822" w:rsidRPr="00C67C91" w:rsidRDefault="005D097D" w:rsidP="0020061C">
      <w:pPr>
        <w:pStyle w:val="CM25"/>
        <w:widowControl/>
        <w:autoSpaceDE/>
        <w:autoSpaceDN/>
        <w:adjustRightInd/>
        <w:spacing w:before="120" w:after="120" w:line="260" w:lineRule="exact"/>
        <w:jc w:val="both"/>
        <w:rPr>
          <w:rFonts w:ascii="Arial" w:hAnsi="Arial" w:cs="Arial"/>
          <w:sz w:val="20"/>
          <w:szCs w:val="20"/>
        </w:rPr>
      </w:pPr>
      <w:r w:rsidRPr="00C67C91">
        <w:rPr>
          <w:rFonts w:ascii="Arial" w:hAnsi="Arial" w:cs="Arial"/>
          <w:sz w:val="20"/>
          <w:szCs w:val="20"/>
        </w:rPr>
        <w:t>El detalle de otros gastos de explotación del ejercicio 20</w:t>
      </w:r>
      <w:r w:rsidR="00E37520" w:rsidRPr="00C67C91">
        <w:rPr>
          <w:rFonts w:ascii="Arial" w:hAnsi="Arial" w:cs="Arial"/>
          <w:sz w:val="20"/>
          <w:szCs w:val="20"/>
        </w:rPr>
        <w:t xml:space="preserve">20 </w:t>
      </w:r>
      <w:r w:rsidRPr="00C67C91">
        <w:rPr>
          <w:rFonts w:ascii="Arial" w:hAnsi="Arial" w:cs="Arial"/>
          <w:sz w:val="20"/>
          <w:szCs w:val="20"/>
        </w:rPr>
        <w:t>y 291</w:t>
      </w:r>
      <w:r w:rsidR="00E37520" w:rsidRPr="00C67C91">
        <w:rPr>
          <w:rFonts w:ascii="Arial" w:hAnsi="Arial" w:cs="Arial"/>
          <w:sz w:val="20"/>
          <w:szCs w:val="20"/>
        </w:rPr>
        <w:t>9</w:t>
      </w:r>
      <w:r w:rsidRPr="00C67C91">
        <w:rPr>
          <w:rFonts w:ascii="Arial" w:hAnsi="Arial" w:cs="Arial"/>
          <w:sz w:val="20"/>
          <w:szCs w:val="20"/>
        </w:rPr>
        <w:t>, es el siguiente, en euros:</w:t>
      </w:r>
    </w:p>
    <w:tbl>
      <w:tblPr>
        <w:tblW w:w="5000" w:type="pct"/>
        <w:jc w:val="center"/>
        <w:tblCellMar>
          <w:left w:w="70" w:type="dxa"/>
          <w:right w:w="70" w:type="dxa"/>
        </w:tblCellMar>
        <w:tblLook w:val="04A0"/>
      </w:tblPr>
      <w:tblGrid>
        <w:gridCol w:w="1112"/>
        <w:gridCol w:w="3963"/>
        <w:gridCol w:w="1786"/>
        <w:gridCol w:w="1784"/>
      </w:tblGrid>
      <w:tr w:rsidR="0050194F" w:rsidRPr="00C67C91" w:rsidTr="0020061C">
        <w:trPr>
          <w:trHeight w:val="283"/>
          <w:jc w:val="center"/>
        </w:trPr>
        <w:tc>
          <w:tcPr>
            <w:tcW w:w="643" w:type="pct"/>
            <w:tcBorders>
              <w:top w:val="nil"/>
              <w:left w:val="nil"/>
              <w:bottom w:val="single" w:sz="4" w:space="0" w:color="auto"/>
              <w:right w:val="nil"/>
            </w:tcBorders>
            <w:shd w:val="clear" w:color="000000" w:fill="D9D9D9"/>
            <w:vAlign w:val="bottom"/>
          </w:tcPr>
          <w:p w:rsidR="0050194F" w:rsidRPr="00C67C91" w:rsidRDefault="0050194F" w:rsidP="0050194F">
            <w:pPr>
              <w:spacing w:after="0" w:line="240" w:lineRule="auto"/>
              <w:jc w:val="center"/>
              <w:rPr>
                <w:rFonts w:ascii="Arial" w:hAnsi="Arial" w:cs="Arial"/>
                <w:b/>
                <w:bCs/>
                <w:color w:val="000000"/>
                <w:sz w:val="18"/>
                <w:szCs w:val="18"/>
              </w:rPr>
            </w:pPr>
            <w:r>
              <w:rPr>
                <w:rFonts w:ascii="Arial" w:hAnsi="Arial" w:cs="Arial"/>
                <w:b/>
                <w:bCs/>
                <w:color w:val="000000"/>
                <w:sz w:val="18"/>
                <w:szCs w:val="18"/>
              </w:rPr>
              <w:t>Cuenta</w:t>
            </w:r>
          </w:p>
        </w:tc>
        <w:tc>
          <w:tcPr>
            <w:tcW w:w="2292" w:type="pct"/>
            <w:tcBorders>
              <w:top w:val="nil"/>
              <w:left w:val="nil"/>
              <w:bottom w:val="single" w:sz="4" w:space="0" w:color="auto"/>
              <w:right w:val="nil"/>
            </w:tcBorders>
            <w:shd w:val="clear" w:color="000000" w:fill="D9D9D9"/>
            <w:noWrap/>
            <w:vAlign w:val="bottom"/>
            <w:hideMark/>
          </w:tcPr>
          <w:p w:rsidR="0050194F" w:rsidRPr="00C67C91" w:rsidRDefault="0050194F" w:rsidP="0050194F">
            <w:pPr>
              <w:spacing w:after="0" w:line="240" w:lineRule="auto"/>
              <w:jc w:val="center"/>
              <w:rPr>
                <w:rFonts w:ascii="Arial" w:hAnsi="Arial" w:cs="Arial"/>
                <w:b/>
                <w:bCs/>
                <w:color w:val="000000"/>
                <w:sz w:val="18"/>
                <w:szCs w:val="18"/>
              </w:rPr>
            </w:pPr>
            <w:r>
              <w:rPr>
                <w:rFonts w:ascii="Arial" w:hAnsi="Arial" w:cs="Arial"/>
                <w:b/>
                <w:bCs/>
                <w:color w:val="000000"/>
                <w:sz w:val="18"/>
                <w:szCs w:val="18"/>
              </w:rPr>
              <w:t>Descripción</w:t>
            </w:r>
          </w:p>
        </w:tc>
        <w:tc>
          <w:tcPr>
            <w:tcW w:w="1033" w:type="pct"/>
            <w:tcBorders>
              <w:top w:val="nil"/>
              <w:left w:val="nil"/>
              <w:bottom w:val="single" w:sz="4" w:space="0" w:color="auto"/>
              <w:right w:val="nil"/>
            </w:tcBorders>
            <w:shd w:val="clear" w:color="000000" w:fill="D9D9D9"/>
            <w:noWrap/>
            <w:vAlign w:val="bottom"/>
            <w:hideMark/>
          </w:tcPr>
          <w:p w:rsidR="0050194F" w:rsidRPr="00C67C91" w:rsidRDefault="0050194F" w:rsidP="0050194F">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2020</w:t>
            </w:r>
          </w:p>
        </w:tc>
        <w:tc>
          <w:tcPr>
            <w:tcW w:w="1033" w:type="pct"/>
            <w:tcBorders>
              <w:top w:val="nil"/>
              <w:left w:val="nil"/>
              <w:bottom w:val="single" w:sz="4" w:space="0" w:color="auto"/>
              <w:right w:val="nil"/>
            </w:tcBorders>
            <w:shd w:val="clear" w:color="000000" w:fill="D9D9D9"/>
            <w:noWrap/>
            <w:vAlign w:val="bottom"/>
            <w:hideMark/>
          </w:tcPr>
          <w:p w:rsidR="0050194F" w:rsidRPr="00C67C91" w:rsidRDefault="0050194F" w:rsidP="0050194F">
            <w:pPr>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2019</w:t>
            </w:r>
          </w:p>
        </w:tc>
      </w:tr>
      <w:tr w:rsidR="0050194F" w:rsidRPr="00C67C91" w:rsidTr="0020061C">
        <w:trPr>
          <w:trHeight w:val="255"/>
          <w:jc w:val="center"/>
        </w:trPr>
        <w:tc>
          <w:tcPr>
            <w:tcW w:w="643" w:type="pct"/>
            <w:tcBorders>
              <w:top w:val="single" w:sz="4" w:space="0" w:color="auto"/>
              <w:left w:val="nil"/>
              <w:bottom w:val="nil"/>
              <w:right w:val="nil"/>
            </w:tcBorders>
            <w:vAlign w:val="center"/>
          </w:tcPr>
          <w:p w:rsidR="0050194F" w:rsidRPr="00C67C91" w:rsidRDefault="0050194F" w:rsidP="0050194F">
            <w:pPr>
              <w:spacing w:after="0" w:line="240" w:lineRule="auto"/>
              <w:rPr>
                <w:rFonts w:ascii="Arial" w:hAnsi="Arial" w:cs="Arial"/>
                <w:color w:val="000000"/>
                <w:sz w:val="18"/>
                <w:szCs w:val="18"/>
              </w:rPr>
            </w:pPr>
            <w:r>
              <w:rPr>
                <w:rFonts w:ascii="Arial" w:hAnsi="Arial" w:cs="Arial"/>
                <w:color w:val="000000"/>
                <w:sz w:val="18"/>
                <w:szCs w:val="18"/>
              </w:rPr>
              <w:t>621</w:t>
            </w:r>
          </w:p>
        </w:tc>
        <w:tc>
          <w:tcPr>
            <w:tcW w:w="2292" w:type="pct"/>
            <w:tcBorders>
              <w:top w:val="single" w:sz="4" w:space="0" w:color="auto"/>
              <w:left w:val="nil"/>
              <w:bottom w:val="nil"/>
              <w:right w:val="nil"/>
            </w:tcBorders>
            <w:noWrap/>
            <w:vAlign w:val="center"/>
            <w:hideMark/>
          </w:tcPr>
          <w:p w:rsidR="0050194F" w:rsidRPr="00C67C91" w:rsidRDefault="0050194F" w:rsidP="0050194F">
            <w:pPr>
              <w:spacing w:after="0" w:line="240" w:lineRule="auto"/>
              <w:rPr>
                <w:rFonts w:ascii="Arial" w:hAnsi="Arial" w:cs="Arial"/>
                <w:color w:val="000000"/>
                <w:sz w:val="18"/>
                <w:szCs w:val="18"/>
              </w:rPr>
            </w:pPr>
            <w:r w:rsidRPr="00C67C91">
              <w:rPr>
                <w:rFonts w:ascii="Arial" w:hAnsi="Arial" w:cs="Arial"/>
                <w:color w:val="000000"/>
                <w:sz w:val="18"/>
                <w:szCs w:val="18"/>
              </w:rPr>
              <w:t xml:space="preserve">Arrendamientos </w:t>
            </w:r>
          </w:p>
        </w:tc>
        <w:tc>
          <w:tcPr>
            <w:tcW w:w="1033" w:type="pct"/>
            <w:tcBorders>
              <w:top w:val="single" w:sz="4" w:space="0" w:color="auto"/>
              <w:left w:val="nil"/>
              <w:bottom w:val="nil"/>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Pr>
                <w:rFonts w:ascii="Arial" w:hAnsi="Arial" w:cs="Arial"/>
                <w:color w:val="000000"/>
                <w:sz w:val="18"/>
                <w:szCs w:val="18"/>
              </w:rPr>
              <w:t>186.905,04</w:t>
            </w:r>
          </w:p>
        </w:tc>
        <w:tc>
          <w:tcPr>
            <w:tcW w:w="1033" w:type="pct"/>
            <w:tcBorders>
              <w:top w:val="single" w:sz="4" w:space="0" w:color="auto"/>
              <w:left w:val="nil"/>
              <w:bottom w:val="nil"/>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Pr>
                <w:rFonts w:ascii="Arial" w:hAnsi="Arial" w:cs="Arial"/>
                <w:color w:val="000000"/>
                <w:sz w:val="18"/>
                <w:szCs w:val="18"/>
              </w:rPr>
              <w:t>187.025,04</w:t>
            </w:r>
          </w:p>
        </w:tc>
      </w:tr>
      <w:tr w:rsidR="0050194F" w:rsidRPr="00C67C91" w:rsidTr="0020061C">
        <w:trPr>
          <w:trHeight w:val="255"/>
          <w:jc w:val="center"/>
        </w:trPr>
        <w:tc>
          <w:tcPr>
            <w:tcW w:w="643" w:type="pct"/>
            <w:tcBorders>
              <w:top w:val="nil"/>
              <w:left w:val="nil"/>
              <w:bottom w:val="nil"/>
              <w:right w:val="nil"/>
            </w:tcBorders>
            <w:vAlign w:val="center"/>
          </w:tcPr>
          <w:p w:rsidR="0050194F" w:rsidRPr="00C67C91" w:rsidRDefault="0050194F" w:rsidP="0050194F">
            <w:pPr>
              <w:spacing w:after="0" w:line="240" w:lineRule="auto"/>
              <w:rPr>
                <w:rFonts w:ascii="Arial" w:hAnsi="Arial" w:cs="Arial"/>
                <w:color w:val="000000"/>
                <w:sz w:val="18"/>
                <w:szCs w:val="18"/>
              </w:rPr>
            </w:pPr>
            <w:r>
              <w:rPr>
                <w:rFonts w:ascii="Arial" w:hAnsi="Arial" w:cs="Arial"/>
                <w:color w:val="000000"/>
                <w:sz w:val="18"/>
                <w:szCs w:val="18"/>
              </w:rPr>
              <w:t>622</w:t>
            </w:r>
          </w:p>
        </w:tc>
        <w:tc>
          <w:tcPr>
            <w:tcW w:w="2292" w:type="pct"/>
            <w:tcBorders>
              <w:top w:val="nil"/>
              <w:left w:val="nil"/>
              <w:bottom w:val="nil"/>
              <w:right w:val="nil"/>
            </w:tcBorders>
            <w:noWrap/>
            <w:vAlign w:val="center"/>
            <w:hideMark/>
          </w:tcPr>
          <w:p w:rsidR="0050194F" w:rsidRPr="00C67C91" w:rsidRDefault="0050194F" w:rsidP="0050194F">
            <w:pPr>
              <w:spacing w:after="0" w:line="240" w:lineRule="auto"/>
              <w:rPr>
                <w:rFonts w:ascii="Arial" w:hAnsi="Arial" w:cs="Arial"/>
                <w:color w:val="000000"/>
                <w:sz w:val="18"/>
                <w:szCs w:val="18"/>
              </w:rPr>
            </w:pPr>
            <w:r w:rsidRPr="00C67C91">
              <w:rPr>
                <w:rFonts w:ascii="Arial" w:hAnsi="Arial" w:cs="Arial"/>
                <w:color w:val="000000"/>
                <w:sz w:val="18"/>
                <w:szCs w:val="18"/>
              </w:rPr>
              <w:t xml:space="preserve">Reparación y Conservación </w:t>
            </w:r>
          </w:p>
        </w:tc>
        <w:tc>
          <w:tcPr>
            <w:tcW w:w="1033" w:type="pct"/>
            <w:tcBorders>
              <w:top w:val="nil"/>
              <w:left w:val="nil"/>
              <w:bottom w:val="nil"/>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Pr>
                <w:rFonts w:ascii="Arial" w:hAnsi="Arial" w:cs="Arial"/>
                <w:color w:val="000000"/>
                <w:sz w:val="18"/>
                <w:szCs w:val="18"/>
              </w:rPr>
              <w:t>645.092,79</w:t>
            </w:r>
          </w:p>
        </w:tc>
        <w:tc>
          <w:tcPr>
            <w:tcW w:w="1033" w:type="pct"/>
            <w:tcBorders>
              <w:top w:val="nil"/>
              <w:left w:val="nil"/>
              <w:bottom w:val="nil"/>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Pr>
                <w:rFonts w:ascii="Arial" w:hAnsi="Arial" w:cs="Arial"/>
                <w:color w:val="000000"/>
                <w:sz w:val="18"/>
                <w:szCs w:val="18"/>
              </w:rPr>
              <w:t>527.472,60</w:t>
            </w:r>
          </w:p>
        </w:tc>
      </w:tr>
      <w:tr w:rsidR="0050194F" w:rsidRPr="00C67C91" w:rsidTr="0020061C">
        <w:trPr>
          <w:trHeight w:val="255"/>
          <w:jc w:val="center"/>
        </w:trPr>
        <w:tc>
          <w:tcPr>
            <w:tcW w:w="643" w:type="pct"/>
            <w:tcBorders>
              <w:top w:val="nil"/>
              <w:left w:val="nil"/>
              <w:bottom w:val="nil"/>
              <w:right w:val="nil"/>
            </w:tcBorders>
            <w:vAlign w:val="center"/>
          </w:tcPr>
          <w:p w:rsidR="0050194F" w:rsidRPr="00C67C91" w:rsidRDefault="0050194F" w:rsidP="0050194F">
            <w:pPr>
              <w:spacing w:after="0" w:line="240" w:lineRule="auto"/>
              <w:rPr>
                <w:rFonts w:ascii="Arial" w:hAnsi="Arial" w:cs="Arial"/>
                <w:color w:val="000000"/>
                <w:sz w:val="18"/>
                <w:szCs w:val="18"/>
              </w:rPr>
            </w:pPr>
            <w:r>
              <w:rPr>
                <w:rFonts w:ascii="Arial" w:hAnsi="Arial" w:cs="Arial"/>
                <w:color w:val="000000"/>
                <w:sz w:val="18"/>
                <w:szCs w:val="18"/>
              </w:rPr>
              <w:t>626</w:t>
            </w:r>
          </w:p>
        </w:tc>
        <w:tc>
          <w:tcPr>
            <w:tcW w:w="2292" w:type="pct"/>
            <w:tcBorders>
              <w:top w:val="nil"/>
              <w:left w:val="nil"/>
              <w:bottom w:val="nil"/>
              <w:right w:val="nil"/>
            </w:tcBorders>
            <w:noWrap/>
            <w:vAlign w:val="center"/>
            <w:hideMark/>
          </w:tcPr>
          <w:p w:rsidR="0050194F" w:rsidRPr="00C67C91" w:rsidRDefault="0050194F" w:rsidP="0050194F">
            <w:pPr>
              <w:spacing w:after="0" w:line="240" w:lineRule="auto"/>
              <w:rPr>
                <w:rFonts w:ascii="Arial" w:hAnsi="Arial" w:cs="Arial"/>
                <w:color w:val="000000"/>
                <w:sz w:val="18"/>
                <w:szCs w:val="18"/>
              </w:rPr>
            </w:pPr>
            <w:r w:rsidRPr="00C67C91">
              <w:rPr>
                <w:rFonts w:ascii="Arial" w:hAnsi="Arial" w:cs="Arial"/>
                <w:color w:val="000000"/>
                <w:sz w:val="18"/>
                <w:szCs w:val="18"/>
              </w:rPr>
              <w:t xml:space="preserve">Servicios Bancarios </w:t>
            </w:r>
          </w:p>
        </w:tc>
        <w:tc>
          <w:tcPr>
            <w:tcW w:w="1033" w:type="pct"/>
            <w:tcBorders>
              <w:top w:val="nil"/>
              <w:left w:val="nil"/>
              <w:bottom w:val="nil"/>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Pr>
                <w:rFonts w:ascii="Arial" w:hAnsi="Arial" w:cs="Arial"/>
                <w:color w:val="000000"/>
                <w:sz w:val="18"/>
                <w:szCs w:val="18"/>
              </w:rPr>
              <w:t>483,26</w:t>
            </w:r>
          </w:p>
        </w:tc>
        <w:tc>
          <w:tcPr>
            <w:tcW w:w="1033" w:type="pct"/>
            <w:tcBorders>
              <w:top w:val="nil"/>
              <w:left w:val="nil"/>
              <w:bottom w:val="nil"/>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Pr>
                <w:rFonts w:ascii="Arial" w:hAnsi="Arial" w:cs="Arial"/>
                <w:color w:val="000000"/>
                <w:sz w:val="18"/>
                <w:szCs w:val="18"/>
              </w:rPr>
              <w:t>839,40</w:t>
            </w:r>
          </w:p>
        </w:tc>
      </w:tr>
      <w:tr w:rsidR="0050194F" w:rsidRPr="00C67C91" w:rsidTr="0020061C">
        <w:trPr>
          <w:trHeight w:val="255"/>
          <w:jc w:val="center"/>
        </w:trPr>
        <w:tc>
          <w:tcPr>
            <w:tcW w:w="643" w:type="pct"/>
            <w:tcBorders>
              <w:top w:val="nil"/>
              <w:left w:val="nil"/>
              <w:bottom w:val="nil"/>
              <w:right w:val="nil"/>
            </w:tcBorders>
            <w:vAlign w:val="center"/>
          </w:tcPr>
          <w:p w:rsidR="0050194F" w:rsidRPr="00C67C91" w:rsidRDefault="0050194F" w:rsidP="0050194F">
            <w:pPr>
              <w:spacing w:after="0" w:line="240" w:lineRule="auto"/>
              <w:rPr>
                <w:rFonts w:ascii="Arial" w:hAnsi="Arial" w:cs="Arial"/>
                <w:color w:val="000000"/>
                <w:sz w:val="18"/>
                <w:szCs w:val="18"/>
              </w:rPr>
            </w:pPr>
            <w:r>
              <w:rPr>
                <w:rFonts w:ascii="Arial" w:hAnsi="Arial" w:cs="Arial"/>
                <w:color w:val="000000"/>
                <w:sz w:val="18"/>
                <w:szCs w:val="18"/>
              </w:rPr>
              <w:t>628</w:t>
            </w:r>
          </w:p>
        </w:tc>
        <w:tc>
          <w:tcPr>
            <w:tcW w:w="2292" w:type="pct"/>
            <w:tcBorders>
              <w:top w:val="nil"/>
              <w:left w:val="nil"/>
              <w:bottom w:val="nil"/>
              <w:right w:val="nil"/>
            </w:tcBorders>
            <w:noWrap/>
            <w:vAlign w:val="center"/>
            <w:hideMark/>
          </w:tcPr>
          <w:p w:rsidR="0050194F" w:rsidRPr="00C67C91" w:rsidRDefault="0050194F" w:rsidP="0050194F">
            <w:pPr>
              <w:spacing w:after="0" w:line="240" w:lineRule="auto"/>
              <w:rPr>
                <w:rFonts w:ascii="Arial" w:hAnsi="Arial" w:cs="Arial"/>
                <w:color w:val="000000"/>
                <w:sz w:val="18"/>
                <w:szCs w:val="18"/>
              </w:rPr>
            </w:pPr>
            <w:r w:rsidRPr="00C67C91">
              <w:rPr>
                <w:rFonts w:ascii="Arial" w:hAnsi="Arial" w:cs="Arial"/>
                <w:color w:val="000000"/>
                <w:sz w:val="18"/>
                <w:szCs w:val="18"/>
              </w:rPr>
              <w:t xml:space="preserve">Suministros </w:t>
            </w:r>
          </w:p>
        </w:tc>
        <w:tc>
          <w:tcPr>
            <w:tcW w:w="1033" w:type="pct"/>
            <w:tcBorders>
              <w:top w:val="nil"/>
              <w:left w:val="nil"/>
              <w:bottom w:val="nil"/>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Pr>
                <w:rFonts w:ascii="Arial" w:hAnsi="Arial" w:cs="Arial"/>
                <w:color w:val="000000"/>
                <w:sz w:val="18"/>
                <w:szCs w:val="18"/>
              </w:rPr>
              <w:t>3.775,82</w:t>
            </w:r>
          </w:p>
        </w:tc>
        <w:tc>
          <w:tcPr>
            <w:tcW w:w="1033" w:type="pct"/>
            <w:tcBorders>
              <w:top w:val="nil"/>
              <w:left w:val="nil"/>
              <w:bottom w:val="nil"/>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Pr>
                <w:rFonts w:ascii="Arial" w:hAnsi="Arial" w:cs="Arial"/>
                <w:color w:val="000000"/>
                <w:sz w:val="18"/>
                <w:szCs w:val="18"/>
              </w:rPr>
              <w:t>3.765,36</w:t>
            </w:r>
          </w:p>
        </w:tc>
      </w:tr>
      <w:tr w:rsidR="0050194F" w:rsidRPr="00C67C91" w:rsidTr="0020061C">
        <w:trPr>
          <w:trHeight w:val="255"/>
          <w:jc w:val="center"/>
        </w:trPr>
        <w:tc>
          <w:tcPr>
            <w:tcW w:w="643" w:type="pct"/>
            <w:tcBorders>
              <w:top w:val="nil"/>
              <w:left w:val="nil"/>
              <w:right w:val="nil"/>
            </w:tcBorders>
            <w:vAlign w:val="center"/>
          </w:tcPr>
          <w:p w:rsidR="0050194F" w:rsidRPr="00C67C91" w:rsidRDefault="0050194F" w:rsidP="0050194F">
            <w:pPr>
              <w:spacing w:after="0" w:line="240" w:lineRule="auto"/>
              <w:rPr>
                <w:rFonts w:ascii="Arial" w:hAnsi="Arial" w:cs="Arial"/>
                <w:color w:val="000000"/>
                <w:sz w:val="18"/>
                <w:szCs w:val="18"/>
              </w:rPr>
            </w:pPr>
            <w:r>
              <w:rPr>
                <w:rFonts w:ascii="Arial" w:hAnsi="Arial" w:cs="Arial"/>
                <w:color w:val="000000"/>
                <w:sz w:val="18"/>
                <w:szCs w:val="18"/>
              </w:rPr>
              <w:t>629</w:t>
            </w:r>
          </w:p>
        </w:tc>
        <w:tc>
          <w:tcPr>
            <w:tcW w:w="2292" w:type="pct"/>
            <w:tcBorders>
              <w:top w:val="nil"/>
              <w:left w:val="nil"/>
              <w:right w:val="nil"/>
            </w:tcBorders>
            <w:noWrap/>
            <w:vAlign w:val="center"/>
            <w:hideMark/>
          </w:tcPr>
          <w:p w:rsidR="0050194F" w:rsidRPr="00C67C91" w:rsidRDefault="0050194F" w:rsidP="0050194F">
            <w:pPr>
              <w:spacing w:after="0" w:line="240" w:lineRule="auto"/>
              <w:rPr>
                <w:rFonts w:ascii="Arial" w:hAnsi="Arial" w:cs="Arial"/>
                <w:color w:val="000000"/>
                <w:sz w:val="18"/>
                <w:szCs w:val="18"/>
              </w:rPr>
            </w:pPr>
            <w:r w:rsidRPr="00C67C91">
              <w:rPr>
                <w:rFonts w:ascii="Arial" w:hAnsi="Arial" w:cs="Arial"/>
                <w:color w:val="000000"/>
                <w:sz w:val="18"/>
                <w:szCs w:val="18"/>
              </w:rPr>
              <w:t xml:space="preserve">Otros Gastos </w:t>
            </w:r>
          </w:p>
        </w:tc>
        <w:tc>
          <w:tcPr>
            <w:tcW w:w="1033" w:type="pct"/>
            <w:tcBorders>
              <w:top w:val="nil"/>
              <w:left w:val="nil"/>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sidRPr="00C67C91">
              <w:rPr>
                <w:rFonts w:ascii="Arial" w:hAnsi="Arial" w:cs="Arial"/>
                <w:color w:val="000000"/>
                <w:sz w:val="18"/>
                <w:szCs w:val="18"/>
              </w:rPr>
              <w:t>10.787,27</w:t>
            </w:r>
          </w:p>
        </w:tc>
        <w:tc>
          <w:tcPr>
            <w:tcW w:w="1033" w:type="pct"/>
            <w:tcBorders>
              <w:top w:val="nil"/>
              <w:left w:val="nil"/>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Pr>
                <w:rFonts w:ascii="Arial" w:hAnsi="Arial" w:cs="Arial"/>
                <w:color w:val="000000"/>
                <w:sz w:val="18"/>
                <w:szCs w:val="18"/>
              </w:rPr>
              <w:t>48.806,06</w:t>
            </w:r>
          </w:p>
        </w:tc>
      </w:tr>
      <w:tr w:rsidR="0050194F" w:rsidRPr="00C67C91" w:rsidTr="0020061C">
        <w:trPr>
          <w:trHeight w:val="255"/>
          <w:jc w:val="center"/>
        </w:trPr>
        <w:tc>
          <w:tcPr>
            <w:tcW w:w="643" w:type="pct"/>
            <w:tcBorders>
              <w:top w:val="nil"/>
              <w:left w:val="nil"/>
              <w:bottom w:val="nil"/>
              <w:right w:val="nil"/>
            </w:tcBorders>
            <w:vAlign w:val="center"/>
          </w:tcPr>
          <w:p w:rsidR="0050194F" w:rsidRPr="00C67C91" w:rsidRDefault="0050194F" w:rsidP="0050194F">
            <w:pPr>
              <w:spacing w:after="0" w:line="240" w:lineRule="auto"/>
              <w:rPr>
                <w:rFonts w:ascii="Arial" w:hAnsi="Arial" w:cs="Arial"/>
                <w:color w:val="000000"/>
                <w:sz w:val="18"/>
                <w:szCs w:val="18"/>
              </w:rPr>
            </w:pPr>
            <w:r>
              <w:rPr>
                <w:rFonts w:ascii="Arial" w:hAnsi="Arial" w:cs="Arial"/>
                <w:color w:val="000000"/>
                <w:sz w:val="18"/>
                <w:szCs w:val="18"/>
              </w:rPr>
              <w:t>631</w:t>
            </w:r>
          </w:p>
        </w:tc>
        <w:tc>
          <w:tcPr>
            <w:tcW w:w="2292" w:type="pct"/>
            <w:tcBorders>
              <w:top w:val="nil"/>
              <w:left w:val="nil"/>
              <w:bottom w:val="nil"/>
              <w:right w:val="nil"/>
            </w:tcBorders>
            <w:noWrap/>
            <w:vAlign w:val="center"/>
            <w:hideMark/>
          </w:tcPr>
          <w:p w:rsidR="0050194F" w:rsidRPr="00C67C91" w:rsidRDefault="0050194F" w:rsidP="0050194F">
            <w:pPr>
              <w:spacing w:after="0" w:line="240" w:lineRule="auto"/>
              <w:rPr>
                <w:rFonts w:ascii="Arial" w:hAnsi="Arial" w:cs="Arial"/>
                <w:color w:val="000000"/>
                <w:sz w:val="18"/>
                <w:szCs w:val="18"/>
              </w:rPr>
            </w:pPr>
            <w:r w:rsidRPr="00C67C91">
              <w:rPr>
                <w:rFonts w:ascii="Arial" w:hAnsi="Arial" w:cs="Arial"/>
                <w:color w:val="000000"/>
                <w:sz w:val="18"/>
                <w:szCs w:val="18"/>
              </w:rPr>
              <w:t xml:space="preserve">Otros Tributos </w:t>
            </w:r>
          </w:p>
        </w:tc>
        <w:tc>
          <w:tcPr>
            <w:tcW w:w="1033" w:type="pct"/>
            <w:tcBorders>
              <w:top w:val="nil"/>
              <w:left w:val="nil"/>
              <w:bottom w:val="nil"/>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Pr>
                <w:rFonts w:ascii="Arial" w:hAnsi="Arial" w:cs="Arial"/>
                <w:color w:val="000000"/>
                <w:sz w:val="18"/>
                <w:szCs w:val="18"/>
              </w:rPr>
              <w:t>63.965,44</w:t>
            </w:r>
          </w:p>
        </w:tc>
        <w:tc>
          <w:tcPr>
            <w:tcW w:w="1033" w:type="pct"/>
            <w:tcBorders>
              <w:top w:val="nil"/>
              <w:left w:val="nil"/>
              <w:bottom w:val="nil"/>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Pr>
                <w:rFonts w:ascii="Arial" w:hAnsi="Arial" w:cs="Arial"/>
                <w:color w:val="000000"/>
                <w:sz w:val="18"/>
                <w:szCs w:val="18"/>
              </w:rPr>
              <w:t>64.749,72</w:t>
            </w:r>
          </w:p>
        </w:tc>
      </w:tr>
      <w:tr w:rsidR="0050194F" w:rsidRPr="00C67C91" w:rsidTr="00EF0678">
        <w:trPr>
          <w:trHeight w:val="255"/>
          <w:jc w:val="center"/>
        </w:trPr>
        <w:tc>
          <w:tcPr>
            <w:tcW w:w="643" w:type="pct"/>
            <w:tcBorders>
              <w:top w:val="nil"/>
              <w:left w:val="nil"/>
              <w:bottom w:val="single" w:sz="4" w:space="0" w:color="auto"/>
              <w:right w:val="nil"/>
            </w:tcBorders>
            <w:vAlign w:val="center"/>
          </w:tcPr>
          <w:p w:rsidR="0050194F" w:rsidRPr="00C67C91" w:rsidRDefault="0050194F" w:rsidP="0050194F">
            <w:pPr>
              <w:spacing w:after="0" w:line="240" w:lineRule="auto"/>
              <w:rPr>
                <w:rFonts w:ascii="Arial" w:hAnsi="Arial" w:cs="Arial"/>
                <w:color w:val="000000"/>
                <w:sz w:val="18"/>
                <w:szCs w:val="18"/>
              </w:rPr>
            </w:pPr>
            <w:r>
              <w:rPr>
                <w:rFonts w:ascii="Arial" w:hAnsi="Arial" w:cs="Arial"/>
                <w:color w:val="000000"/>
                <w:sz w:val="18"/>
                <w:szCs w:val="18"/>
              </w:rPr>
              <w:t>659</w:t>
            </w:r>
          </w:p>
        </w:tc>
        <w:tc>
          <w:tcPr>
            <w:tcW w:w="2292" w:type="pct"/>
            <w:tcBorders>
              <w:top w:val="nil"/>
              <w:left w:val="nil"/>
              <w:bottom w:val="single" w:sz="4" w:space="0" w:color="auto"/>
              <w:right w:val="nil"/>
            </w:tcBorders>
            <w:noWrap/>
            <w:vAlign w:val="center"/>
            <w:hideMark/>
          </w:tcPr>
          <w:p w:rsidR="0050194F" w:rsidRPr="00C67C91" w:rsidRDefault="0050194F" w:rsidP="0050194F">
            <w:pPr>
              <w:spacing w:after="0" w:line="240" w:lineRule="auto"/>
              <w:rPr>
                <w:rFonts w:ascii="Arial" w:hAnsi="Arial" w:cs="Arial"/>
                <w:color w:val="000000"/>
                <w:sz w:val="18"/>
                <w:szCs w:val="18"/>
              </w:rPr>
            </w:pPr>
            <w:r w:rsidRPr="00C67C91">
              <w:rPr>
                <w:rFonts w:ascii="Arial" w:hAnsi="Arial" w:cs="Arial"/>
                <w:color w:val="000000"/>
                <w:sz w:val="18"/>
                <w:szCs w:val="18"/>
              </w:rPr>
              <w:t>Otras perdidas en gestión corriente</w:t>
            </w:r>
          </w:p>
        </w:tc>
        <w:tc>
          <w:tcPr>
            <w:tcW w:w="1033" w:type="pct"/>
            <w:tcBorders>
              <w:top w:val="nil"/>
              <w:left w:val="nil"/>
              <w:bottom w:val="single" w:sz="4" w:space="0" w:color="auto"/>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1033" w:type="pct"/>
            <w:tcBorders>
              <w:top w:val="nil"/>
              <w:left w:val="nil"/>
              <w:bottom w:val="single" w:sz="4" w:space="0" w:color="auto"/>
              <w:right w:val="nil"/>
            </w:tcBorders>
            <w:noWrap/>
            <w:vAlign w:val="center"/>
            <w:hideMark/>
          </w:tcPr>
          <w:p w:rsidR="0050194F" w:rsidRPr="00C67C91" w:rsidRDefault="0050194F" w:rsidP="0050194F">
            <w:pPr>
              <w:spacing w:after="0" w:line="240" w:lineRule="auto"/>
              <w:jc w:val="right"/>
              <w:rPr>
                <w:rFonts w:ascii="Arial" w:hAnsi="Arial" w:cs="Arial"/>
                <w:color w:val="000000"/>
                <w:sz w:val="18"/>
                <w:szCs w:val="18"/>
              </w:rPr>
            </w:pPr>
            <w:r>
              <w:rPr>
                <w:rFonts w:ascii="Arial" w:hAnsi="Arial" w:cs="Arial"/>
                <w:color w:val="000000"/>
                <w:sz w:val="18"/>
                <w:szCs w:val="18"/>
              </w:rPr>
              <w:t>20,88</w:t>
            </w:r>
          </w:p>
        </w:tc>
      </w:tr>
      <w:tr w:rsidR="0050194F" w:rsidRPr="00C67C91" w:rsidTr="00EF0678">
        <w:trPr>
          <w:trHeight w:val="255"/>
          <w:jc w:val="center"/>
        </w:trPr>
        <w:tc>
          <w:tcPr>
            <w:tcW w:w="643" w:type="pct"/>
            <w:tcBorders>
              <w:top w:val="single" w:sz="4" w:space="0" w:color="auto"/>
              <w:left w:val="nil"/>
              <w:bottom w:val="single" w:sz="4" w:space="0" w:color="auto"/>
              <w:right w:val="nil"/>
            </w:tcBorders>
            <w:shd w:val="clear" w:color="000000" w:fill="F2F2F2"/>
            <w:vAlign w:val="center"/>
          </w:tcPr>
          <w:p w:rsidR="0050194F" w:rsidRPr="00C67C91" w:rsidRDefault="0050194F" w:rsidP="00B73209">
            <w:pPr>
              <w:spacing w:after="0" w:line="240" w:lineRule="auto"/>
              <w:rPr>
                <w:rFonts w:ascii="Arial" w:hAnsi="Arial" w:cs="Arial"/>
                <w:b/>
                <w:bCs/>
                <w:color w:val="000000"/>
                <w:sz w:val="18"/>
                <w:szCs w:val="18"/>
              </w:rPr>
            </w:pPr>
            <w:r w:rsidRPr="00C67C91">
              <w:rPr>
                <w:rFonts w:ascii="Arial" w:hAnsi="Arial" w:cs="Arial"/>
                <w:b/>
                <w:bCs/>
                <w:color w:val="000000"/>
                <w:sz w:val="18"/>
                <w:szCs w:val="18"/>
              </w:rPr>
              <w:t>Total</w:t>
            </w:r>
          </w:p>
        </w:tc>
        <w:tc>
          <w:tcPr>
            <w:tcW w:w="2292" w:type="pct"/>
            <w:tcBorders>
              <w:top w:val="single" w:sz="4" w:space="0" w:color="auto"/>
              <w:left w:val="nil"/>
              <w:bottom w:val="single" w:sz="4" w:space="0" w:color="auto"/>
              <w:right w:val="nil"/>
            </w:tcBorders>
            <w:shd w:val="clear" w:color="000000" w:fill="F2F2F2"/>
            <w:noWrap/>
            <w:vAlign w:val="center"/>
            <w:hideMark/>
          </w:tcPr>
          <w:p w:rsidR="0050194F" w:rsidRPr="00C67C91" w:rsidRDefault="0050194F" w:rsidP="0050194F">
            <w:pPr>
              <w:spacing w:after="0" w:line="240" w:lineRule="auto"/>
              <w:rPr>
                <w:rFonts w:ascii="Arial" w:hAnsi="Arial" w:cs="Arial"/>
                <w:b/>
                <w:bCs/>
                <w:color w:val="000000"/>
                <w:sz w:val="18"/>
                <w:szCs w:val="18"/>
              </w:rPr>
            </w:pPr>
            <w:r w:rsidRPr="00C67C91">
              <w:rPr>
                <w:rFonts w:ascii="Arial" w:hAnsi="Arial" w:cs="Arial"/>
                <w:b/>
                <w:bCs/>
                <w:color w:val="000000"/>
                <w:sz w:val="18"/>
                <w:szCs w:val="18"/>
              </w:rPr>
              <w:t> </w:t>
            </w:r>
          </w:p>
        </w:tc>
        <w:tc>
          <w:tcPr>
            <w:tcW w:w="1033" w:type="pct"/>
            <w:tcBorders>
              <w:top w:val="single" w:sz="4" w:space="0" w:color="auto"/>
              <w:left w:val="nil"/>
              <w:bottom w:val="single" w:sz="4" w:space="0" w:color="auto"/>
              <w:right w:val="nil"/>
            </w:tcBorders>
            <w:shd w:val="clear" w:color="000000" w:fill="F2F2F2"/>
            <w:noWrap/>
            <w:vAlign w:val="center"/>
            <w:hideMark/>
          </w:tcPr>
          <w:p w:rsidR="0050194F" w:rsidRPr="00C67C91" w:rsidRDefault="0050194F" w:rsidP="0050194F">
            <w:pPr>
              <w:spacing w:after="0" w:line="240" w:lineRule="auto"/>
              <w:jc w:val="right"/>
              <w:rPr>
                <w:rFonts w:ascii="Arial" w:hAnsi="Arial" w:cs="Arial"/>
                <w:b/>
                <w:bCs/>
                <w:color w:val="000000"/>
                <w:sz w:val="18"/>
                <w:szCs w:val="18"/>
              </w:rPr>
            </w:pPr>
            <w:r w:rsidRPr="00C67C91">
              <w:rPr>
                <w:rFonts w:ascii="Arial" w:hAnsi="Arial" w:cs="Arial"/>
                <w:b/>
                <w:bCs/>
                <w:color w:val="000000"/>
                <w:sz w:val="18"/>
                <w:szCs w:val="18"/>
              </w:rPr>
              <w:t>911.009,62</w:t>
            </w:r>
          </w:p>
        </w:tc>
        <w:tc>
          <w:tcPr>
            <w:tcW w:w="1033" w:type="pct"/>
            <w:tcBorders>
              <w:top w:val="single" w:sz="4" w:space="0" w:color="auto"/>
              <w:left w:val="nil"/>
              <w:bottom w:val="single" w:sz="4" w:space="0" w:color="auto"/>
              <w:right w:val="nil"/>
            </w:tcBorders>
            <w:shd w:val="clear" w:color="000000" w:fill="F2F2F2"/>
            <w:noWrap/>
            <w:vAlign w:val="center"/>
            <w:hideMark/>
          </w:tcPr>
          <w:p w:rsidR="0050194F" w:rsidRPr="00C67C91" w:rsidRDefault="0050194F" w:rsidP="0050194F">
            <w:pPr>
              <w:spacing w:after="0" w:line="240" w:lineRule="auto"/>
              <w:jc w:val="right"/>
              <w:rPr>
                <w:rFonts w:ascii="Arial" w:hAnsi="Arial" w:cs="Arial"/>
                <w:b/>
                <w:bCs/>
                <w:color w:val="000000"/>
                <w:sz w:val="18"/>
                <w:szCs w:val="18"/>
              </w:rPr>
            </w:pPr>
            <w:r>
              <w:rPr>
                <w:rFonts w:ascii="Arial" w:hAnsi="Arial" w:cs="Arial"/>
                <w:b/>
                <w:bCs/>
                <w:color w:val="000000"/>
                <w:sz w:val="18"/>
                <w:szCs w:val="18"/>
              </w:rPr>
              <w:t>832.679,06</w:t>
            </w:r>
          </w:p>
        </w:tc>
      </w:tr>
    </w:tbl>
    <w:p w:rsidR="00336822" w:rsidRPr="00C67C91" w:rsidRDefault="00336822" w:rsidP="0020061C">
      <w:pPr>
        <w:pStyle w:val="CM26"/>
        <w:widowControl/>
        <w:autoSpaceDE/>
        <w:autoSpaceDN/>
        <w:adjustRightInd/>
        <w:spacing w:before="120" w:after="120" w:line="260" w:lineRule="exact"/>
        <w:jc w:val="both"/>
        <w:rPr>
          <w:rFonts w:ascii="Arial" w:hAnsi="Arial" w:cs="Arial"/>
          <w:sz w:val="20"/>
          <w:szCs w:val="20"/>
        </w:rPr>
      </w:pPr>
      <w:r w:rsidRPr="00C67C91">
        <w:rPr>
          <w:rFonts w:ascii="Arial" w:hAnsi="Arial" w:cs="Arial"/>
          <w:sz w:val="20"/>
          <w:szCs w:val="20"/>
        </w:rPr>
        <w:t xml:space="preserve">En otros tributos se reflejan los impuestos y tasas pagadas por ocupación de zona portuaria y el pago de un canon al Ministerio de Agricultura y Alimentación y Medio Ambiente. </w:t>
      </w:r>
    </w:p>
    <w:p w:rsidR="00C62C17" w:rsidRPr="00B73209" w:rsidRDefault="00336822" w:rsidP="00DD305A">
      <w:pPr>
        <w:pStyle w:val="CM20"/>
        <w:spacing w:before="120" w:after="120"/>
        <w:jc w:val="both"/>
        <w:rPr>
          <w:rFonts w:ascii="Arial" w:hAnsi="Arial" w:cs="Arial"/>
          <w:b/>
          <w:bCs/>
          <w:sz w:val="20"/>
          <w:szCs w:val="20"/>
          <w:u w:val="single"/>
        </w:rPr>
      </w:pPr>
      <w:r w:rsidRPr="00C67C91">
        <w:rPr>
          <w:rFonts w:ascii="Arial" w:hAnsi="Arial" w:cs="Arial"/>
          <w:b/>
          <w:bCs/>
          <w:sz w:val="20"/>
          <w:szCs w:val="20"/>
          <w:u w:val="single"/>
        </w:rPr>
        <w:t>Impor</w:t>
      </w:r>
      <w:r w:rsidR="007E7309" w:rsidRPr="00C67C91">
        <w:rPr>
          <w:rFonts w:ascii="Arial" w:hAnsi="Arial" w:cs="Arial"/>
          <w:b/>
          <w:bCs/>
          <w:sz w:val="20"/>
          <w:szCs w:val="20"/>
          <w:u w:val="single"/>
        </w:rPr>
        <w:t>te neto de la cifra de negocios</w:t>
      </w:r>
    </w:p>
    <w:p w:rsidR="00336822" w:rsidRDefault="00336822" w:rsidP="00DD305A">
      <w:pPr>
        <w:pStyle w:val="CM21"/>
        <w:widowControl/>
        <w:autoSpaceDE/>
        <w:autoSpaceDN/>
        <w:adjustRightInd/>
        <w:spacing w:before="120" w:after="240" w:line="260" w:lineRule="exact"/>
        <w:jc w:val="both"/>
        <w:rPr>
          <w:rFonts w:ascii="Arial" w:hAnsi="Arial" w:cs="Arial"/>
          <w:sz w:val="20"/>
          <w:szCs w:val="20"/>
        </w:rPr>
      </w:pPr>
      <w:r w:rsidRPr="00C67C91">
        <w:rPr>
          <w:rFonts w:ascii="Arial" w:hAnsi="Arial" w:cs="Arial"/>
          <w:sz w:val="20"/>
          <w:szCs w:val="20"/>
        </w:rPr>
        <w:t xml:space="preserve">La sociedad refleja importe neto de la cifra de negocio por facturaciones realizadas al Consorcio ACE por servicios prestados, así como alquiler por cesión de derechos en sistema submarino internacional con </w:t>
      </w:r>
      <w:proofErr w:type="spellStart"/>
      <w:r w:rsidRPr="00C67C91">
        <w:rPr>
          <w:rFonts w:ascii="Arial" w:hAnsi="Arial" w:cs="Arial"/>
          <w:sz w:val="20"/>
          <w:szCs w:val="20"/>
        </w:rPr>
        <w:t>Canalink</w:t>
      </w:r>
      <w:proofErr w:type="spellEnd"/>
      <w:r w:rsidRPr="00C67C91">
        <w:rPr>
          <w:rFonts w:ascii="Arial" w:hAnsi="Arial" w:cs="Arial"/>
          <w:sz w:val="20"/>
          <w:szCs w:val="20"/>
        </w:rPr>
        <w:t xml:space="preserve"> por</w:t>
      </w:r>
      <w:r w:rsidR="001022B9" w:rsidRPr="00C67C91">
        <w:rPr>
          <w:rFonts w:ascii="Arial" w:hAnsi="Arial" w:cs="Arial"/>
          <w:sz w:val="20"/>
          <w:szCs w:val="20"/>
        </w:rPr>
        <w:t xml:space="preserve"> </w:t>
      </w:r>
      <w:r w:rsidR="00E37520" w:rsidRPr="00C67C91">
        <w:rPr>
          <w:rFonts w:ascii="Arial" w:hAnsi="Arial" w:cs="Arial"/>
          <w:sz w:val="20"/>
          <w:szCs w:val="20"/>
        </w:rPr>
        <w:t xml:space="preserve">1.671.816,12 euros en 2020 </w:t>
      </w:r>
      <w:r w:rsidRPr="00C67C91">
        <w:rPr>
          <w:rFonts w:ascii="Arial" w:hAnsi="Arial" w:cs="Arial"/>
          <w:sz w:val="20"/>
          <w:szCs w:val="20"/>
        </w:rPr>
        <w:t>(</w:t>
      </w:r>
      <w:r w:rsidR="00E37520" w:rsidRPr="00C67C91">
        <w:rPr>
          <w:rFonts w:ascii="Arial" w:hAnsi="Arial" w:cs="Arial"/>
          <w:sz w:val="20"/>
          <w:szCs w:val="20"/>
        </w:rPr>
        <w:t>1.734.285,98 euros en 2019</w:t>
      </w:r>
      <w:r w:rsidRPr="00C67C91">
        <w:rPr>
          <w:rFonts w:ascii="Arial" w:hAnsi="Arial" w:cs="Arial"/>
          <w:sz w:val="20"/>
          <w:szCs w:val="20"/>
        </w:rPr>
        <w:t xml:space="preserve">). </w:t>
      </w:r>
    </w:p>
    <w:p w:rsidR="00336822" w:rsidRPr="00B73209" w:rsidRDefault="00336822" w:rsidP="00DD305A">
      <w:pPr>
        <w:pStyle w:val="CM20"/>
        <w:spacing w:after="0"/>
        <w:jc w:val="both"/>
        <w:rPr>
          <w:rFonts w:ascii="Arial" w:hAnsi="Arial" w:cs="Arial"/>
          <w:b/>
          <w:sz w:val="20"/>
          <w:szCs w:val="20"/>
        </w:rPr>
      </w:pPr>
      <w:r w:rsidRPr="00B73209">
        <w:rPr>
          <w:rFonts w:ascii="Arial" w:hAnsi="Arial" w:cs="Arial"/>
          <w:b/>
          <w:sz w:val="20"/>
          <w:szCs w:val="20"/>
          <w:u w:val="single"/>
        </w:rPr>
        <w:t>Resultados originados fuera de la</w:t>
      </w:r>
      <w:r w:rsidR="00B73209" w:rsidRPr="00B73209">
        <w:rPr>
          <w:rFonts w:ascii="Arial" w:hAnsi="Arial" w:cs="Arial"/>
          <w:b/>
          <w:sz w:val="20"/>
          <w:szCs w:val="20"/>
          <w:u w:val="single"/>
        </w:rPr>
        <w:t xml:space="preserve"> actividad normal de la empresa</w:t>
      </w:r>
    </w:p>
    <w:p w:rsidR="00B73209" w:rsidRDefault="00B73209" w:rsidP="0020061C">
      <w:pPr>
        <w:pStyle w:val="CM28"/>
        <w:widowControl/>
        <w:autoSpaceDE/>
        <w:autoSpaceDN/>
        <w:adjustRightInd/>
        <w:spacing w:before="120" w:after="120" w:line="260" w:lineRule="exact"/>
        <w:jc w:val="both"/>
        <w:rPr>
          <w:rFonts w:ascii="Arial" w:hAnsi="Arial" w:cs="Arial"/>
          <w:sz w:val="20"/>
          <w:szCs w:val="20"/>
        </w:rPr>
      </w:pPr>
      <w:r>
        <w:rPr>
          <w:rFonts w:ascii="Arial" w:hAnsi="Arial" w:cs="Arial"/>
          <w:sz w:val="20"/>
          <w:szCs w:val="20"/>
        </w:rPr>
        <w:t>En el ejercicio 2020 no se han generado este tipo de gastos.</w:t>
      </w:r>
    </w:p>
    <w:p w:rsidR="00FD108B" w:rsidRPr="00C67C91" w:rsidRDefault="00B73209" w:rsidP="0020061C">
      <w:pPr>
        <w:pStyle w:val="CM28"/>
        <w:widowControl/>
        <w:autoSpaceDE/>
        <w:autoSpaceDN/>
        <w:adjustRightInd/>
        <w:spacing w:before="120" w:after="120" w:line="260" w:lineRule="exact"/>
        <w:jc w:val="both"/>
        <w:rPr>
          <w:rFonts w:ascii="Arial" w:hAnsi="Arial" w:cs="Arial"/>
          <w:sz w:val="20"/>
          <w:szCs w:val="20"/>
        </w:rPr>
      </w:pPr>
      <w:r>
        <w:rPr>
          <w:rFonts w:ascii="Arial" w:hAnsi="Arial" w:cs="Arial"/>
          <w:sz w:val="20"/>
          <w:szCs w:val="20"/>
        </w:rPr>
        <w:t xml:space="preserve">En el ejercicio 2019, figuraban las </w:t>
      </w:r>
      <w:r w:rsidR="00336822" w:rsidRPr="00C67C91">
        <w:rPr>
          <w:rFonts w:ascii="Arial" w:hAnsi="Arial" w:cs="Arial"/>
          <w:sz w:val="20"/>
          <w:szCs w:val="20"/>
        </w:rPr>
        <w:t>diferencias de cambio por valor de</w:t>
      </w:r>
      <w:r w:rsidR="008D7833" w:rsidRPr="00C67C91">
        <w:rPr>
          <w:rFonts w:ascii="Arial" w:hAnsi="Arial" w:cs="Arial"/>
          <w:sz w:val="20"/>
          <w:szCs w:val="20"/>
        </w:rPr>
        <w:t xml:space="preserve"> </w:t>
      </w:r>
      <w:r w:rsidR="00E37520" w:rsidRPr="00C67C91">
        <w:rPr>
          <w:rFonts w:ascii="Arial" w:hAnsi="Arial" w:cs="Arial"/>
          <w:sz w:val="20"/>
          <w:szCs w:val="20"/>
        </w:rPr>
        <w:t xml:space="preserve">4.622,22 </w:t>
      </w:r>
      <w:r w:rsidR="00BF656B" w:rsidRPr="00C67C91">
        <w:rPr>
          <w:rFonts w:ascii="Arial" w:hAnsi="Arial" w:cs="Arial"/>
          <w:sz w:val="20"/>
          <w:szCs w:val="20"/>
        </w:rPr>
        <w:t>euros</w:t>
      </w:r>
      <w:r w:rsidR="00336822" w:rsidRPr="00C67C91">
        <w:rPr>
          <w:rFonts w:ascii="Arial" w:hAnsi="Arial" w:cs="Arial"/>
          <w:sz w:val="20"/>
          <w:szCs w:val="20"/>
        </w:rPr>
        <w:t xml:space="preserve">. </w:t>
      </w:r>
    </w:p>
    <w:p w:rsidR="00A10C02" w:rsidRPr="00203EFC" w:rsidRDefault="00A10C02" w:rsidP="00203EFC">
      <w:pPr>
        <w:pStyle w:val="CM20"/>
        <w:spacing w:before="240" w:after="120"/>
        <w:ind w:left="284" w:hanging="284"/>
        <w:jc w:val="both"/>
        <w:rPr>
          <w:rFonts w:ascii="Arial" w:hAnsi="Arial" w:cs="Arial"/>
          <w:b/>
          <w:bCs/>
          <w:sz w:val="20"/>
          <w:szCs w:val="20"/>
        </w:rPr>
      </w:pPr>
      <w:r w:rsidRPr="00203EFC">
        <w:rPr>
          <w:rFonts w:ascii="Arial" w:hAnsi="Arial" w:cs="Arial"/>
          <w:b/>
          <w:bCs/>
          <w:sz w:val="20"/>
          <w:szCs w:val="20"/>
        </w:rPr>
        <w:lastRenderedPageBreak/>
        <w:t>11.-</w:t>
      </w:r>
      <w:r w:rsidR="00203EFC">
        <w:rPr>
          <w:rFonts w:ascii="Arial" w:hAnsi="Arial" w:cs="Arial"/>
          <w:b/>
          <w:bCs/>
          <w:sz w:val="20"/>
          <w:szCs w:val="20"/>
        </w:rPr>
        <w:t xml:space="preserve"> </w:t>
      </w:r>
      <w:r w:rsidRPr="00203EFC">
        <w:rPr>
          <w:rFonts w:ascii="Arial" w:hAnsi="Arial" w:cs="Arial"/>
          <w:b/>
          <w:bCs/>
          <w:sz w:val="20"/>
          <w:szCs w:val="20"/>
        </w:rPr>
        <w:t>HECHOS POSTERIORES</w:t>
      </w:r>
      <w:r w:rsidRPr="00DB76FA">
        <w:rPr>
          <w:rFonts w:ascii="Arial" w:hAnsi="Arial" w:cs="Arial"/>
          <w:b/>
          <w:bCs/>
          <w:sz w:val="20"/>
          <w:szCs w:val="20"/>
        </w:rPr>
        <w:t xml:space="preserve"> </w:t>
      </w:r>
    </w:p>
    <w:p w:rsidR="00DB76FA" w:rsidRDefault="00DB76FA" w:rsidP="0020061C">
      <w:pPr>
        <w:pStyle w:val="CM22"/>
        <w:widowControl/>
        <w:autoSpaceDE/>
        <w:autoSpaceDN/>
        <w:adjustRightInd/>
        <w:spacing w:before="120" w:line="260" w:lineRule="exact"/>
        <w:jc w:val="both"/>
        <w:rPr>
          <w:rFonts w:ascii="Arial" w:hAnsi="Arial" w:cs="Arial"/>
          <w:sz w:val="20"/>
          <w:szCs w:val="20"/>
        </w:rPr>
      </w:pPr>
      <w:r w:rsidRPr="005222BE">
        <w:rPr>
          <w:rFonts w:ascii="Arial" w:hAnsi="Arial" w:cs="Arial"/>
          <w:sz w:val="20"/>
          <w:szCs w:val="20"/>
        </w:rPr>
        <w:t>No se han producido acontecimientos significativos desde el 31 de diciembre de 2020 hasta la fecha de formulación de estas cuentas anuales abreviadas que, afectando a las mismas, no se hubiera incluido en ellas, o cuyo conocimiento pudiera resultar útil a un usuario de las mismas.</w:t>
      </w:r>
      <w:r w:rsidRPr="00DB76FA">
        <w:rPr>
          <w:rFonts w:ascii="Arial" w:hAnsi="Arial" w:cs="Arial"/>
          <w:sz w:val="20"/>
          <w:szCs w:val="20"/>
        </w:rPr>
        <w:t xml:space="preserve"> </w:t>
      </w:r>
    </w:p>
    <w:p w:rsidR="00336822" w:rsidRPr="00203EFC" w:rsidRDefault="008D7833" w:rsidP="00203EFC">
      <w:pPr>
        <w:pStyle w:val="CM20"/>
        <w:spacing w:before="240" w:after="120"/>
        <w:ind w:left="284" w:hanging="284"/>
        <w:jc w:val="both"/>
        <w:rPr>
          <w:rFonts w:ascii="Arial" w:hAnsi="Arial" w:cs="Arial"/>
          <w:b/>
          <w:bCs/>
          <w:sz w:val="20"/>
          <w:szCs w:val="20"/>
        </w:rPr>
      </w:pPr>
      <w:r w:rsidRPr="00C67C91">
        <w:rPr>
          <w:rFonts w:ascii="Arial" w:hAnsi="Arial" w:cs="Arial"/>
          <w:b/>
          <w:bCs/>
          <w:sz w:val="20"/>
          <w:szCs w:val="20"/>
        </w:rPr>
        <w:t>12</w:t>
      </w:r>
      <w:r w:rsidR="00336822" w:rsidRPr="00C67C91">
        <w:rPr>
          <w:rFonts w:ascii="Arial" w:hAnsi="Arial" w:cs="Arial"/>
          <w:b/>
          <w:bCs/>
          <w:sz w:val="20"/>
          <w:szCs w:val="20"/>
        </w:rPr>
        <w:t>.-</w:t>
      </w:r>
      <w:r w:rsidR="00203EFC">
        <w:rPr>
          <w:rFonts w:ascii="Arial" w:hAnsi="Arial" w:cs="Arial"/>
          <w:b/>
          <w:bCs/>
          <w:sz w:val="20"/>
          <w:szCs w:val="20"/>
        </w:rPr>
        <w:t xml:space="preserve"> </w:t>
      </w:r>
      <w:r w:rsidR="00336822" w:rsidRPr="00C67C91">
        <w:rPr>
          <w:rFonts w:ascii="Arial" w:hAnsi="Arial" w:cs="Arial"/>
          <w:b/>
          <w:bCs/>
          <w:sz w:val="20"/>
          <w:szCs w:val="20"/>
        </w:rPr>
        <w:t xml:space="preserve">INFORMACIÓN SOBRE LOS DERECHOS DE EMISION DE GASES DE EFECTO INVERNADERO </w:t>
      </w:r>
    </w:p>
    <w:p w:rsidR="00336822" w:rsidRPr="00C67C91" w:rsidRDefault="0020061C" w:rsidP="0020061C">
      <w:pPr>
        <w:pStyle w:val="CM22"/>
        <w:widowControl/>
        <w:autoSpaceDE/>
        <w:autoSpaceDN/>
        <w:adjustRightInd/>
        <w:spacing w:before="120" w:line="260" w:lineRule="exact"/>
        <w:jc w:val="both"/>
        <w:rPr>
          <w:rFonts w:ascii="Arial" w:hAnsi="Arial" w:cs="Arial"/>
          <w:sz w:val="20"/>
          <w:szCs w:val="20"/>
        </w:rPr>
      </w:pPr>
      <w:r>
        <w:rPr>
          <w:rFonts w:ascii="Arial" w:hAnsi="Arial" w:cs="Arial"/>
          <w:sz w:val="20"/>
          <w:szCs w:val="20"/>
        </w:rPr>
        <w:t>La Sociedad</w:t>
      </w:r>
      <w:r w:rsidR="00336822" w:rsidRPr="00C67C91">
        <w:rPr>
          <w:rFonts w:ascii="Arial" w:hAnsi="Arial" w:cs="Arial"/>
          <w:sz w:val="20"/>
          <w:szCs w:val="20"/>
        </w:rPr>
        <w:t xml:space="preserve"> no ha tenido asignados derechos de emisión de gases de efecto invernadero durante el período de vigencia del Plan Nacional de Asignación. </w:t>
      </w:r>
    </w:p>
    <w:p w:rsidR="00336822" w:rsidRPr="00C67C91" w:rsidRDefault="00336822" w:rsidP="0020061C">
      <w:pPr>
        <w:pStyle w:val="CM21"/>
        <w:widowControl/>
        <w:autoSpaceDE/>
        <w:autoSpaceDN/>
        <w:adjustRightInd/>
        <w:spacing w:before="120" w:after="120" w:line="260" w:lineRule="exact"/>
        <w:jc w:val="both"/>
        <w:rPr>
          <w:rFonts w:ascii="Arial" w:hAnsi="Arial" w:cs="Arial"/>
          <w:sz w:val="20"/>
          <w:szCs w:val="20"/>
        </w:rPr>
      </w:pPr>
      <w:r w:rsidRPr="00C67C91">
        <w:rPr>
          <w:rFonts w:ascii="Arial" w:hAnsi="Arial" w:cs="Arial"/>
          <w:sz w:val="20"/>
          <w:szCs w:val="20"/>
        </w:rPr>
        <w:t xml:space="preserve">La Sociedad no tiene responsabilidades, gastos ni provisiones y contingencias de naturaleza medioambiental que pudieran ser significativas al cierre. </w:t>
      </w:r>
    </w:p>
    <w:p w:rsidR="00336822" w:rsidRPr="00203EFC" w:rsidRDefault="008D7833" w:rsidP="00203EFC">
      <w:pPr>
        <w:pStyle w:val="CM20"/>
        <w:spacing w:before="240" w:after="120"/>
        <w:ind w:left="284" w:hanging="284"/>
        <w:jc w:val="both"/>
        <w:rPr>
          <w:rFonts w:ascii="Arial" w:hAnsi="Arial" w:cs="Arial"/>
          <w:b/>
          <w:bCs/>
          <w:sz w:val="20"/>
          <w:szCs w:val="20"/>
        </w:rPr>
      </w:pPr>
      <w:r w:rsidRPr="00C67C91">
        <w:rPr>
          <w:rFonts w:ascii="Arial" w:hAnsi="Arial" w:cs="Arial"/>
          <w:b/>
          <w:bCs/>
          <w:sz w:val="20"/>
          <w:szCs w:val="20"/>
        </w:rPr>
        <w:t>13</w:t>
      </w:r>
      <w:r w:rsidR="00336822" w:rsidRPr="00C67C91">
        <w:rPr>
          <w:rFonts w:ascii="Arial" w:hAnsi="Arial" w:cs="Arial"/>
          <w:b/>
          <w:bCs/>
          <w:sz w:val="20"/>
          <w:szCs w:val="20"/>
        </w:rPr>
        <w:t>.-</w:t>
      </w:r>
      <w:r w:rsidR="00203EFC">
        <w:rPr>
          <w:rFonts w:ascii="Arial" w:hAnsi="Arial" w:cs="Arial"/>
          <w:b/>
          <w:bCs/>
          <w:sz w:val="20"/>
          <w:szCs w:val="20"/>
        </w:rPr>
        <w:t xml:space="preserve"> </w:t>
      </w:r>
      <w:r w:rsidR="00336822" w:rsidRPr="00C67C91">
        <w:rPr>
          <w:rFonts w:ascii="Arial" w:hAnsi="Arial" w:cs="Arial"/>
          <w:b/>
          <w:bCs/>
          <w:sz w:val="20"/>
          <w:szCs w:val="20"/>
        </w:rPr>
        <w:t xml:space="preserve">INFORMACION SOBRE APLAZAMIENTOS DE PAGO EFECTUADOS A PROVEEDORES. D.A3ª “DEBER DE INFORMACIÓN” LEY 15/2010, DE 5 DEJULIO </w:t>
      </w:r>
    </w:p>
    <w:p w:rsidR="00336822" w:rsidRPr="00C67C91" w:rsidRDefault="00336822" w:rsidP="00C12036">
      <w:pPr>
        <w:pStyle w:val="CM23"/>
        <w:keepNext/>
        <w:keepLines/>
        <w:spacing w:after="160"/>
        <w:jc w:val="both"/>
        <w:rPr>
          <w:rFonts w:ascii="Arial" w:hAnsi="Arial" w:cs="Arial"/>
          <w:sz w:val="20"/>
          <w:szCs w:val="20"/>
        </w:rPr>
      </w:pPr>
      <w:r w:rsidRPr="00C67C91">
        <w:rPr>
          <w:rFonts w:ascii="Arial" w:hAnsi="Arial" w:cs="Arial"/>
          <w:sz w:val="20"/>
          <w:szCs w:val="20"/>
          <w:u w:val="single"/>
        </w:rPr>
        <w:t xml:space="preserve">Información sobre aplazamientos de pago efectuados a proveedores </w:t>
      </w:r>
    </w:p>
    <w:p w:rsidR="00336822" w:rsidRPr="00C67C91" w:rsidRDefault="00336822" w:rsidP="0020061C">
      <w:pPr>
        <w:pStyle w:val="CM21"/>
        <w:widowControl/>
        <w:autoSpaceDE/>
        <w:autoSpaceDN/>
        <w:adjustRightInd/>
        <w:spacing w:before="120" w:after="120" w:line="260" w:lineRule="exact"/>
        <w:jc w:val="both"/>
        <w:rPr>
          <w:rFonts w:ascii="Arial" w:hAnsi="Arial" w:cs="Arial"/>
          <w:sz w:val="20"/>
          <w:szCs w:val="20"/>
        </w:rPr>
      </w:pPr>
      <w:r w:rsidRPr="00C67C91">
        <w:rPr>
          <w:rFonts w:ascii="Arial" w:hAnsi="Arial" w:cs="Arial"/>
          <w:sz w:val="20"/>
          <w:szCs w:val="20"/>
        </w:rPr>
        <w:t xml:space="preserve">El detalle de la información requerida en relación con el periodo medio de pago a proveedores es el siguiente: </w:t>
      </w:r>
    </w:p>
    <w:tbl>
      <w:tblPr>
        <w:tblW w:w="5670" w:type="dxa"/>
        <w:jc w:val="center"/>
        <w:tblCellMar>
          <w:left w:w="70" w:type="dxa"/>
          <w:right w:w="70" w:type="dxa"/>
        </w:tblCellMar>
        <w:tblLook w:val="04A0"/>
      </w:tblPr>
      <w:tblGrid>
        <w:gridCol w:w="2835"/>
        <w:gridCol w:w="2835"/>
      </w:tblGrid>
      <w:tr w:rsidR="008D7833" w:rsidRPr="00C67C91" w:rsidTr="008D7833">
        <w:trPr>
          <w:trHeight w:val="227"/>
          <w:jc w:val="center"/>
        </w:trPr>
        <w:tc>
          <w:tcPr>
            <w:tcW w:w="1120" w:type="dxa"/>
            <w:tcBorders>
              <w:top w:val="nil"/>
              <w:left w:val="nil"/>
              <w:bottom w:val="nil"/>
              <w:right w:val="nil"/>
            </w:tcBorders>
            <w:shd w:val="clear" w:color="000000" w:fill="D9D9D9"/>
            <w:noWrap/>
            <w:vAlign w:val="bottom"/>
            <w:hideMark/>
          </w:tcPr>
          <w:p w:rsidR="008D7833" w:rsidRPr="00C67C91" w:rsidRDefault="008D7833" w:rsidP="00C12036">
            <w:pPr>
              <w:keepNext/>
              <w:keepLines/>
              <w:widowControl w:val="0"/>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20</w:t>
            </w:r>
            <w:r w:rsidR="00E37520" w:rsidRPr="00C67C91">
              <w:rPr>
                <w:rFonts w:ascii="Arial" w:hAnsi="Arial" w:cs="Arial"/>
                <w:b/>
                <w:bCs/>
                <w:color w:val="000000"/>
                <w:sz w:val="18"/>
                <w:szCs w:val="18"/>
              </w:rPr>
              <w:t>20</w:t>
            </w:r>
          </w:p>
        </w:tc>
        <w:tc>
          <w:tcPr>
            <w:tcW w:w="1120" w:type="dxa"/>
            <w:tcBorders>
              <w:top w:val="nil"/>
              <w:left w:val="nil"/>
              <w:bottom w:val="nil"/>
              <w:right w:val="nil"/>
            </w:tcBorders>
            <w:shd w:val="clear" w:color="000000" w:fill="D9D9D9"/>
            <w:noWrap/>
            <w:vAlign w:val="bottom"/>
            <w:hideMark/>
          </w:tcPr>
          <w:p w:rsidR="008D7833" w:rsidRPr="00C67C91" w:rsidRDefault="008D7833" w:rsidP="00C12036">
            <w:pPr>
              <w:keepNext/>
              <w:keepLines/>
              <w:widowControl w:val="0"/>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201</w:t>
            </w:r>
            <w:r w:rsidR="00E37520" w:rsidRPr="00C67C91">
              <w:rPr>
                <w:rFonts w:ascii="Arial" w:hAnsi="Arial" w:cs="Arial"/>
                <w:b/>
                <w:bCs/>
                <w:color w:val="000000"/>
                <w:sz w:val="18"/>
                <w:szCs w:val="18"/>
              </w:rPr>
              <w:t>9</w:t>
            </w:r>
          </w:p>
        </w:tc>
      </w:tr>
      <w:tr w:rsidR="008D7833" w:rsidRPr="00C67C91" w:rsidTr="008D7833">
        <w:trPr>
          <w:trHeight w:val="227"/>
          <w:jc w:val="center"/>
        </w:trPr>
        <w:tc>
          <w:tcPr>
            <w:tcW w:w="1120" w:type="dxa"/>
            <w:tcBorders>
              <w:top w:val="nil"/>
              <w:left w:val="nil"/>
              <w:bottom w:val="single" w:sz="4" w:space="0" w:color="auto"/>
              <w:right w:val="nil"/>
            </w:tcBorders>
            <w:shd w:val="clear" w:color="000000" w:fill="D9D9D9"/>
            <w:noWrap/>
            <w:vAlign w:val="bottom"/>
            <w:hideMark/>
          </w:tcPr>
          <w:p w:rsidR="008D7833" w:rsidRPr="00C67C91" w:rsidRDefault="008D7833" w:rsidP="00C12036">
            <w:pPr>
              <w:keepNext/>
              <w:keepLines/>
              <w:widowControl w:val="0"/>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DIAS</w:t>
            </w:r>
          </w:p>
        </w:tc>
        <w:tc>
          <w:tcPr>
            <w:tcW w:w="1120" w:type="dxa"/>
            <w:tcBorders>
              <w:top w:val="nil"/>
              <w:left w:val="nil"/>
              <w:bottom w:val="single" w:sz="4" w:space="0" w:color="auto"/>
              <w:right w:val="nil"/>
            </w:tcBorders>
            <w:shd w:val="clear" w:color="000000" w:fill="D9D9D9"/>
            <w:noWrap/>
            <w:vAlign w:val="bottom"/>
            <w:hideMark/>
          </w:tcPr>
          <w:p w:rsidR="008D7833" w:rsidRPr="00C67C91" w:rsidRDefault="008D7833" w:rsidP="00C12036">
            <w:pPr>
              <w:keepNext/>
              <w:keepLines/>
              <w:widowControl w:val="0"/>
              <w:spacing w:after="0" w:line="240" w:lineRule="auto"/>
              <w:jc w:val="center"/>
              <w:rPr>
                <w:rFonts w:ascii="Arial" w:hAnsi="Arial" w:cs="Arial"/>
                <w:b/>
                <w:bCs/>
                <w:color w:val="000000"/>
                <w:sz w:val="18"/>
                <w:szCs w:val="18"/>
              </w:rPr>
            </w:pPr>
            <w:r w:rsidRPr="00C67C91">
              <w:rPr>
                <w:rFonts w:ascii="Arial" w:hAnsi="Arial" w:cs="Arial"/>
                <w:b/>
                <w:bCs/>
                <w:color w:val="000000"/>
                <w:sz w:val="18"/>
                <w:szCs w:val="18"/>
              </w:rPr>
              <w:t>DIAS</w:t>
            </w:r>
          </w:p>
        </w:tc>
      </w:tr>
      <w:tr w:rsidR="008D7833" w:rsidRPr="00C67C91" w:rsidTr="00A10C02">
        <w:trPr>
          <w:trHeight w:val="255"/>
          <w:jc w:val="center"/>
        </w:trPr>
        <w:tc>
          <w:tcPr>
            <w:tcW w:w="1120" w:type="dxa"/>
            <w:tcBorders>
              <w:top w:val="nil"/>
              <w:left w:val="nil"/>
              <w:bottom w:val="nil"/>
              <w:right w:val="nil"/>
            </w:tcBorders>
            <w:noWrap/>
            <w:vAlign w:val="bottom"/>
            <w:hideMark/>
          </w:tcPr>
          <w:p w:rsidR="008D7833" w:rsidRPr="00C67C91" w:rsidRDefault="008D7833" w:rsidP="00C12036">
            <w:pPr>
              <w:keepNext/>
              <w:keepLines/>
              <w:widowControl w:val="0"/>
              <w:spacing w:after="0" w:line="240" w:lineRule="auto"/>
              <w:jc w:val="center"/>
              <w:rPr>
                <w:rFonts w:ascii="Arial" w:hAnsi="Arial" w:cs="Arial"/>
                <w:color w:val="000000"/>
                <w:sz w:val="18"/>
                <w:szCs w:val="18"/>
              </w:rPr>
            </w:pPr>
            <w:r w:rsidRPr="00C67C91">
              <w:rPr>
                <w:rFonts w:ascii="Arial" w:hAnsi="Arial" w:cs="Arial"/>
                <w:color w:val="000000"/>
                <w:sz w:val="18"/>
                <w:szCs w:val="18"/>
              </w:rPr>
              <w:t> </w:t>
            </w:r>
            <w:r w:rsidR="00A10C02" w:rsidRPr="00C67C91">
              <w:rPr>
                <w:rFonts w:ascii="Arial" w:hAnsi="Arial" w:cs="Arial"/>
                <w:color w:val="000000"/>
                <w:sz w:val="18"/>
                <w:szCs w:val="18"/>
              </w:rPr>
              <w:t>321,89</w:t>
            </w:r>
          </w:p>
        </w:tc>
        <w:tc>
          <w:tcPr>
            <w:tcW w:w="1120" w:type="dxa"/>
            <w:tcBorders>
              <w:top w:val="nil"/>
              <w:left w:val="nil"/>
              <w:bottom w:val="nil"/>
              <w:right w:val="nil"/>
            </w:tcBorders>
            <w:noWrap/>
            <w:vAlign w:val="bottom"/>
            <w:hideMark/>
          </w:tcPr>
          <w:p w:rsidR="008D7833" w:rsidRPr="00C67C91" w:rsidRDefault="00E37520" w:rsidP="00C12036">
            <w:pPr>
              <w:keepNext/>
              <w:keepLines/>
              <w:widowControl w:val="0"/>
              <w:spacing w:after="0" w:line="240" w:lineRule="auto"/>
              <w:jc w:val="center"/>
              <w:rPr>
                <w:rFonts w:ascii="Arial" w:hAnsi="Arial" w:cs="Arial"/>
                <w:color w:val="000000"/>
                <w:sz w:val="18"/>
                <w:szCs w:val="18"/>
              </w:rPr>
            </w:pPr>
            <w:r w:rsidRPr="00C67C91">
              <w:rPr>
                <w:rFonts w:ascii="Arial" w:hAnsi="Arial" w:cs="Arial"/>
                <w:color w:val="000000"/>
                <w:sz w:val="18"/>
                <w:szCs w:val="18"/>
              </w:rPr>
              <w:t>65</w:t>
            </w:r>
            <w:r w:rsidR="00081B9F">
              <w:rPr>
                <w:rFonts w:ascii="Arial" w:hAnsi="Arial" w:cs="Arial"/>
                <w:color w:val="000000"/>
                <w:sz w:val="18"/>
                <w:szCs w:val="18"/>
              </w:rPr>
              <w:t>,</w:t>
            </w:r>
            <w:r w:rsidRPr="00C67C91">
              <w:rPr>
                <w:rFonts w:ascii="Arial" w:hAnsi="Arial" w:cs="Arial"/>
                <w:color w:val="000000"/>
                <w:sz w:val="18"/>
                <w:szCs w:val="18"/>
              </w:rPr>
              <w:t>6</w:t>
            </w:r>
          </w:p>
        </w:tc>
      </w:tr>
      <w:tr w:rsidR="008D7833" w:rsidRPr="0020061C" w:rsidTr="0020061C">
        <w:trPr>
          <w:trHeight w:val="170"/>
          <w:jc w:val="center"/>
        </w:trPr>
        <w:tc>
          <w:tcPr>
            <w:tcW w:w="1120" w:type="dxa"/>
            <w:tcBorders>
              <w:top w:val="nil"/>
              <w:left w:val="nil"/>
              <w:bottom w:val="nil"/>
              <w:right w:val="nil"/>
            </w:tcBorders>
            <w:shd w:val="clear" w:color="000000" w:fill="F2F2F2"/>
            <w:noWrap/>
            <w:vAlign w:val="bottom"/>
            <w:hideMark/>
          </w:tcPr>
          <w:p w:rsidR="008D7833" w:rsidRPr="0020061C" w:rsidRDefault="008D7833" w:rsidP="0020061C">
            <w:pPr>
              <w:keepNext/>
              <w:keepLines/>
              <w:widowControl w:val="0"/>
              <w:spacing w:after="0" w:line="240" w:lineRule="auto"/>
              <w:rPr>
                <w:rFonts w:ascii="Arial" w:hAnsi="Arial" w:cs="Arial"/>
                <w:color w:val="000000"/>
                <w:sz w:val="10"/>
                <w:szCs w:val="10"/>
              </w:rPr>
            </w:pPr>
            <w:r w:rsidRPr="0020061C">
              <w:rPr>
                <w:rFonts w:ascii="Arial" w:hAnsi="Arial" w:cs="Arial"/>
                <w:color w:val="000000"/>
                <w:sz w:val="10"/>
                <w:szCs w:val="10"/>
              </w:rPr>
              <w:t> </w:t>
            </w:r>
          </w:p>
        </w:tc>
        <w:tc>
          <w:tcPr>
            <w:tcW w:w="1120" w:type="dxa"/>
            <w:tcBorders>
              <w:top w:val="nil"/>
              <w:left w:val="nil"/>
              <w:bottom w:val="nil"/>
              <w:right w:val="nil"/>
            </w:tcBorders>
            <w:shd w:val="clear" w:color="000000" w:fill="F2F2F2"/>
            <w:noWrap/>
            <w:vAlign w:val="bottom"/>
            <w:hideMark/>
          </w:tcPr>
          <w:p w:rsidR="008D7833" w:rsidRPr="0020061C" w:rsidRDefault="008D7833" w:rsidP="0020061C">
            <w:pPr>
              <w:keepNext/>
              <w:keepLines/>
              <w:widowControl w:val="0"/>
              <w:spacing w:after="0" w:line="240" w:lineRule="auto"/>
              <w:rPr>
                <w:rFonts w:ascii="Arial" w:hAnsi="Arial" w:cs="Arial"/>
                <w:color w:val="000000"/>
                <w:sz w:val="10"/>
                <w:szCs w:val="10"/>
              </w:rPr>
            </w:pPr>
            <w:r w:rsidRPr="0020061C">
              <w:rPr>
                <w:rFonts w:ascii="Arial" w:hAnsi="Arial" w:cs="Arial"/>
                <w:color w:val="000000"/>
                <w:sz w:val="10"/>
                <w:szCs w:val="10"/>
              </w:rPr>
              <w:t> </w:t>
            </w:r>
          </w:p>
        </w:tc>
      </w:tr>
    </w:tbl>
    <w:p w:rsidR="008D7833" w:rsidRPr="00C67C91" w:rsidRDefault="008D7833" w:rsidP="00C12036">
      <w:pPr>
        <w:pStyle w:val="Default"/>
        <w:keepNext/>
        <w:keepLines/>
        <w:rPr>
          <w:rFonts w:ascii="Arial" w:hAnsi="Arial" w:cs="Arial"/>
          <w:sz w:val="20"/>
          <w:szCs w:val="20"/>
        </w:rPr>
      </w:pPr>
    </w:p>
    <w:p w:rsidR="00336822" w:rsidRDefault="00336822" w:rsidP="0020061C">
      <w:pPr>
        <w:pStyle w:val="CM21"/>
        <w:widowControl/>
        <w:autoSpaceDE/>
        <w:autoSpaceDN/>
        <w:adjustRightInd/>
        <w:spacing w:before="120" w:after="120" w:line="260" w:lineRule="exact"/>
        <w:jc w:val="both"/>
        <w:rPr>
          <w:rFonts w:ascii="Arial" w:hAnsi="Arial" w:cs="Arial"/>
          <w:sz w:val="20"/>
          <w:szCs w:val="20"/>
        </w:rPr>
      </w:pPr>
      <w:r w:rsidRPr="00C67C91">
        <w:rPr>
          <w:rFonts w:ascii="Arial" w:hAnsi="Arial" w:cs="Arial"/>
          <w:sz w:val="20"/>
          <w:szCs w:val="20"/>
        </w:rPr>
        <w:t xml:space="preserve">La Ley 31/2014, de 3 de diciembre, modificó la Ley 15/2010 en relación con la información a incluir en memoria para solicitar el periodo medio de pago a proveedores. Posteriormente, la Resolución del ICAC de 29/1/2916 desarrolla la metodología para su cálculo y los requerimientos de información en memoria al respecto. Esta Resolución entró en vigor el 5/2/16 para las cuentas </w:t>
      </w:r>
      <w:proofErr w:type="gramStart"/>
      <w:r w:rsidRPr="00C67C91">
        <w:rPr>
          <w:rFonts w:ascii="Arial" w:hAnsi="Arial" w:cs="Arial"/>
          <w:sz w:val="20"/>
          <w:szCs w:val="20"/>
        </w:rPr>
        <w:t>anuales</w:t>
      </w:r>
      <w:proofErr w:type="gramEnd"/>
      <w:r w:rsidRPr="00C67C91">
        <w:rPr>
          <w:rFonts w:ascii="Arial" w:hAnsi="Arial" w:cs="Arial"/>
          <w:sz w:val="20"/>
          <w:szCs w:val="20"/>
        </w:rPr>
        <w:t xml:space="preserve"> de ejercicios iniciados a partir del 1/1/2015. </w:t>
      </w:r>
    </w:p>
    <w:p w:rsidR="00C12036" w:rsidRPr="0020061C" w:rsidRDefault="00C12036" w:rsidP="0020061C">
      <w:pPr>
        <w:pStyle w:val="CM21"/>
        <w:widowControl/>
        <w:autoSpaceDE/>
        <w:autoSpaceDN/>
        <w:adjustRightInd/>
        <w:spacing w:before="120" w:after="120" w:line="260" w:lineRule="exact"/>
        <w:jc w:val="both"/>
        <w:rPr>
          <w:rFonts w:ascii="Arial" w:hAnsi="Arial" w:cs="Arial"/>
          <w:sz w:val="20"/>
          <w:szCs w:val="20"/>
        </w:rPr>
        <w:sectPr w:rsidR="00C12036" w:rsidRPr="0020061C" w:rsidSect="00203EFC">
          <w:headerReference w:type="default" r:id="rId13"/>
          <w:pgSz w:w="11907" w:h="16839"/>
          <w:pgMar w:top="1701" w:right="1701" w:bottom="1418" w:left="1701" w:header="680" w:footer="720" w:gutter="0"/>
          <w:cols w:space="720"/>
          <w:noEndnote/>
          <w:docGrid w:linePitch="299"/>
        </w:sectPr>
      </w:pPr>
    </w:p>
    <w:p w:rsidR="00BF6792" w:rsidRPr="00C67C91" w:rsidRDefault="00BF6792" w:rsidP="00A02770">
      <w:pPr>
        <w:pStyle w:val="Textoindependiente"/>
        <w:spacing w:after="0"/>
        <w:jc w:val="center"/>
        <w:rPr>
          <w:b/>
          <w:sz w:val="20"/>
          <w:szCs w:val="20"/>
          <w:u w:val="single"/>
          <w:lang w:val="es-ES"/>
        </w:rPr>
      </w:pPr>
      <w:r w:rsidRPr="00C67C91">
        <w:rPr>
          <w:b/>
          <w:sz w:val="20"/>
          <w:szCs w:val="20"/>
          <w:u w:val="single"/>
          <w:lang w:val="es-ES"/>
        </w:rPr>
        <w:lastRenderedPageBreak/>
        <w:t>FORMULACIÓN DE CUENTAS ANUALES ABREVIADAS</w:t>
      </w:r>
    </w:p>
    <w:p w:rsidR="00BF6792" w:rsidRPr="00C67C91" w:rsidRDefault="00BF6792" w:rsidP="00A02770">
      <w:pPr>
        <w:pStyle w:val="Textoindependiente"/>
        <w:spacing w:after="0"/>
        <w:rPr>
          <w:sz w:val="20"/>
          <w:szCs w:val="20"/>
          <w:lang w:val="es-ES"/>
        </w:rPr>
      </w:pPr>
    </w:p>
    <w:p w:rsidR="00BF6792" w:rsidRPr="00C67C91" w:rsidRDefault="00BF6792" w:rsidP="00A02770">
      <w:pPr>
        <w:pStyle w:val="Textoindependiente"/>
        <w:spacing w:after="0"/>
        <w:rPr>
          <w:sz w:val="20"/>
          <w:szCs w:val="20"/>
          <w:lang w:val="es-ES"/>
        </w:rPr>
      </w:pPr>
      <w:r w:rsidRPr="00C67C91">
        <w:rPr>
          <w:sz w:val="20"/>
          <w:szCs w:val="20"/>
          <w:lang w:val="es-ES"/>
        </w:rPr>
        <w:t xml:space="preserve">En cumplimiento de la normativa mercantil vigente, el Administrador Único de </w:t>
      </w:r>
      <w:r w:rsidRPr="00C67C91">
        <w:rPr>
          <w:b/>
          <w:sz w:val="20"/>
          <w:szCs w:val="20"/>
          <w:lang w:val="es-ES"/>
        </w:rPr>
        <w:t>CANALINK AFRICA, S.L.U.</w:t>
      </w:r>
      <w:r w:rsidRPr="00C67C91">
        <w:rPr>
          <w:sz w:val="20"/>
          <w:szCs w:val="20"/>
          <w:lang w:val="es-ES"/>
        </w:rPr>
        <w:t xml:space="preserve"> formula las Cuentas Anuales Abreviadas correspondientes al ejercicio anual terminado el 31 de diciembre de 20</w:t>
      </w:r>
      <w:r w:rsidR="00E37520" w:rsidRPr="00C67C91">
        <w:rPr>
          <w:sz w:val="20"/>
          <w:szCs w:val="20"/>
          <w:lang w:val="es-ES"/>
        </w:rPr>
        <w:t>20</w:t>
      </w:r>
      <w:r w:rsidRPr="00C67C91">
        <w:rPr>
          <w:sz w:val="20"/>
          <w:szCs w:val="20"/>
          <w:lang w:val="es-ES"/>
        </w:rPr>
        <w:t xml:space="preserve"> que se componen de </w:t>
      </w:r>
      <w:r w:rsidR="00315483" w:rsidRPr="00C67C91">
        <w:rPr>
          <w:sz w:val="20"/>
          <w:szCs w:val="20"/>
          <w:lang w:val="es-ES"/>
        </w:rPr>
        <w:t xml:space="preserve">las adjuntas hojas </w:t>
      </w:r>
      <w:r w:rsidR="00315483" w:rsidRPr="005222BE">
        <w:rPr>
          <w:sz w:val="20"/>
          <w:szCs w:val="20"/>
          <w:lang w:val="es-ES"/>
        </w:rPr>
        <w:t>número 1 a 2</w:t>
      </w:r>
      <w:r w:rsidR="0020061C" w:rsidRPr="005222BE">
        <w:rPr>
          <w:sz w:val="20"/>
          <w:szCs w:val="20"/>
          <w:lang w:val="es-ES"/>
        </w:rPr>
        <w:t>2</w:t>
      </w:r>
      <w:r w:rsidRPr="005222BE">
        <w:rPr>
          <w:sz w:val="20"/>
          <w:szCs w:val="20"/>
          <w:lang w:val="es-ES"/>
        </w:rPr>
        <w:t>.</w:t>
      </w:r>
    </w:p>
    <w:p w:rsidR="00BF6792" w:rsidRPr="00C67C91" w:rsidRDefault="00BF6792" w:rsidP="00A02770">
      <w:pPr>
        <w:widowControl w:val="0"/>
        <w:autoSpaceDE w:val="0"/>
        <w:autoSpaceDN w:val="0"/>
        <w:adjustRightInd w:val="0"/>
        <w:spacing w:line="240" w:lineRule="auto"/>
        <w:rPr>
          <w:rFonts w:ascii="Arial" w:hAnsi="Arial" w:cs="Arial"/>
          <w:b/>
          <w:bCs/>
          <w:sz w:val="20"/>
          <w:szCs w:val="20"/>
        </w:rPr>
      </w:pPr>
    </w:p>
    <w:p w:rsidR="00BF6792" w:rsidRPr="005222BE" w:rsidRDefault="00BF6792" w:rsidP="00A02770">
      <w:pPr>
        <w:pStyle w:val="Ttulo"/>
        <w:rPr>
          <w:rFonts w:ascii="Arial" w:hAnsi="Arial" w:cs="Arial"/>
          <w:b w:val="0"/>
          <w:sz w:val="20"/>
        </w:rPr>
      </w:pPr>
      <w:r w:rsidRPr="005222BE">
        <w:rPr>
          <w:rFonts w:ascii="Arial" w:hAnsi="Arial" w:cs="Arial"/>
          <w:b w:val="0"/>
          <w:sz w:val="20"/>
        </w:rPr>
        <w:t xml:space="preserve">En San Isidro - Granadilla de Abona, a </w:t>
      </w:r>
      <w:r w:rsidR="008F331C">
        <w:rPr>
          <w:rFonts w:ascii="Arial" w:hAnsi="Arial" w:cs="Arial"/>
          <w:b w:val="0"/>
          <w:sz w:val="20"/>
        </w:rPr>
        <w:t>31</w:t>
      </w:r>
      <w:r w:rsidR="00A10C02" w:rsidRPr="005222BE">
        <w:rPr>
          <w:rFonts w:ascii="Arial" w:hAnsi="Arial" w:cs="Arial"/>
          <w:b w:val="0"/>
          <w:sz w:val="20"/>
        </w:rPr>
        <w:t xml:space="preserve"> </w:t>
      </w:r>
      <w:r w:rsidRPr="005222BE">
        <w:rPr>
          <w:rFonts w:ascii="Arial" w:hAnsi="Arial" w:cs="Arial"/>
          <w:b w:val="0"/>
          <w:sz w:val="20"/>
        </w:rPr>
        <w:t>de marzo de 202</w:t>
      </w:r>
      <w:r w:rsidR="00A10C02" w:rsidRPr="005222BE">
        <w:rPr>
          <w:rFonts w:ascii="Arial" w:hAnsi="Arial" w:cs="Arial"/>
          <w:b w:val="0"/>
          <w:sz w:val="20"/>
        </w:rPr>
        <w:t>1</w:t>
      </w:r>
    </w:p>
    <w:p w:rsidR="00BF6792" w:rsidRPr="00C67C91" w:rsidRDefault="00BF6792" w:rsidP="00A02770">
      <w:pPr>
        <w:pStyle w:val="NormalWeb"/>
        <w:spacing w:before="0" w:beforeAutospacing="0" w:after="0" w:afterAutospacing="0"/>
        <w:jc w:val="both"/>
        <w:rPr>
          <w:rFonts w:ascii="Arial" w:hAnsi="Arial" w:cs="Arial"/>
          <w:sz w:val="20"/>
          <w:szCs w:val="20"/>
        </w:rPr>
      </w:pPr>
    </w:p>
    <w:p w:rsidR="00BF6792" w:rsidRPr="00C67C91" w:rsidRDefault="00BF6792" w:rsidP="00A02770">
      <w:pPr>
        <w:pStyle w:val="NormalWeb"/>
        <w:spacing w:before="0" w:beforeAutospacing="0" w:after="0" w:afterAutospacing="0"/>
        <w:jc w:val="both"/>
        <w:rPr>
          <w:rFonts w:ascii="Arial" w:hAnsi="Arial" w:cs="Arial"/>
          <w:sz w:val="20"/>
          <w:szCs w:val="20"/>
        </w:rPr>
      </w:pPr>
    </w:p>
    <w:p w:rsidR="00BF6792" w:rsidRPr="00C67C91" w:rsidRDefault="00BF6792" w:rsidP="00A02770">
      <w:pPr>
        <w:pStyle w:val="NormalWeb"/>
        <w:spacing w:before="0" w:beforeAutospacing="0" w:after="0" w:afterAutospacing="0"/>
        <w:jc w:val="both"/>
        <w:rPr>
          <w:rFonts w:ascii="Arial" w:hAnsi="Arial" w:cs="Arial"/>
          <w:sz w:val="20"/>
          <w:szCs w:val="20"/>
        </w:rPr>
      </w:pPr>
    </w:p>
    <w:p w:rsidR="00BF6792" w:rsidRPr="00C67C91" w:rsidRDefault="00BF6792" w:rsidP="00A02770">
      <w:pPr>
        <w:pStyle w:val="NormalWeb"/>
        <w:spacing w:before="0" w:beforeAutospacing="0" w:after="0" w:afterAutospacing="0"/>
        <w:jc w:val="both"/>
        <w:rPr>
          <w:rFonts w:ascii="Arial" w:hAnsi="Arial" w:cs="Arial"/>
          <w:sz w:val="20"/>
          <w:szCs w:val="20"/>
        </w:rPr>
      </w:pPr>
    </w:p>
    <w:p w:rsidR="00BF6792" w:rsidRPr="00C67C91" w:rsidRDefault="00BF6792" w:rsidP="00A02770">
      <w:pPr>
        <w:pStyle w:val="NormalWeb"/>
        <w:spacing w:before="0" w:beforeAutospacing="0" w:after="0" w:afterAutospacing="0"/>
        <w:jc w:val="both"/>
        <w:rPr>
          <w:rFonts w:ascii="Arial" w:hAnsi="Arial" w:cs="Arial"/>
          <w:sz w:val="20"/>
          <w:szCs w:val="20"/>
        </w:rPr>
      </w:pPr>
    </w:p>
    <w:p w:rsidR="00BF6792" w:rsidRPr="00C67C91" w:rsidRDefault="00BF6792" w:rsidP="00A02770">
      <w:pPr>
        <w:pStyle w:val="NormalWeb"/>
        <w:spacing w:before="0" w:beforeAutospacing="0" w:after="0" w:afterAutospacing="0"/>
        <w:jc w:val="both"/>
        <w:rPr>
          <w:rFonts w:ascii="Arial" w:hAnsi="Arial" w:cs="Arial"/>
          <w:sz w:val="20"/>
          <w:szCs w:val="20"/>
        </w:rPr>
      </w:pPr>
    </w:p>
    <w:p w:rsidR="00BF6792" w:rsidRPr="00C67C91" w:rsidRDefault="00BF6792" w:rsidP="00A02770">
      <w:pPr>
        <w:pStyle w:val="NormalWeb"/>
        <w:spacing w:before="120" w:beforeAutospacing="0" w:after="0" w:afterAutospacing="0"/>
        <w:jc w:val="center"/>
        <w:rPr>
          <w:rFonts w:ascii="Arial" w:hAnsi="Arial" w:cs="Arial"/>
          <w:sz w:val="20"/>
          <w:szCs w:val="20"/>
        </w:rPr>
      </w:pPr>
      <w:r w:rsidRPr="00C67C91">
        <w:rPr>
          <w:rFonts w:ascii="Arial" w:hAnsi="Arial" w:cs="Arial"/>
          <w:sz w:val="20"/>
          <w:szCs w:val="20"/>
        </w:rPr>
        <w:t>_________________________________</w:t>
      </w:r>
    </w:p>
    <w:p w:rsidR="00DE7996" w:rsidRPr="00C67C91" w:rsidRDefault="00BF6792" w:rsidP="00A02770">
      <w:pPr>
        <w:pStyle w:val="NormalWeb"/>
        <w:spacing w:before="120" w:beforeAutospacing="0" w:after="0" w:afterAutospacing="0"/>
        <w:jc w:val="center"/>
        <w:rPr>
          <w:rFonts w:ascii="Arial" w:hAnsi="Arial" w:cs="Arial"/>
          <w:sz w:val="20"/>
          <w:szCs w:val="20"/>
        </w:rPr>
      </w:pPr>
      <w:r w:rsidRPr="00C67C91">
        <w:rPr>
          <w:rFonts w:ascii="Arial" w:hAnsi="Arial" w:cs="Arial"/>
          <w:sz w:val="20"/>
          <w:szCs w:val="20"/>
        </w:rPr>
        <w:t>D.</w:t>
      </w:r>
      <w:r w:rsidR="00DE7996" w:rsidRPr="00C67C91">
        <w:rPr>
          <w:rFonts w:ascii="Arial" w:hAnsi="Arial" w:cs="Arial"/>
          <w:sz w:val="20"/>
          <w:szCs w:val="20"/>
        </w:rPr>
        <w:t xml:space="preserve"> Carlos Suárez Rodríguez</w:t>
      </w:r>
    </w:p>
    <w:p w:rsidR="00BF6792" w:rsidRPr="00C67C91" w:rsidRDefault="00BF6792" w:rsidP="00A02770">
      <w:pPr>
        <w:pStyle w:val="NormalWeb"/>
        <w:spacing w:before="120" w:beforeAutospacing="0" w:after="0" w:afterAutospacing="0"/>
        <w:jc w:val="center"/>
        <w:rPr>
          <w:rFonts w:ascii="Arial" w:hAnsi="Arial" w:cs="Arial"/>
          <w:sz w:val="20"/>
          <w:szCs w:val="20"/>
        </w:rPr>
      </w:pPr>
      <w:r w:rsidRPr="00C67C91">
        <w:rPr>
          <w:rFonts w:ascii="Arial" w:hAnsi="Arial" w:cs="Arial"/>
          <w:sz w:val="20"/>
          <w:szCs w:val="20"/>
        </w:rPr>
        <w:t>Administrador Único</w:t>
      </w:r>
    </w:p>
    <w:p w:rsidR="00BF6792" w:rsidRPr="00C67C91" w:rsidRDefault="00BF6792" w:rsidP="00A02770">
      <w:pPr>
        <w:pStyle w:val="NormalWeb"/>
        <w:spacing w:before="0" w:beforeAutospacing="0" w:after="0" w:afterAutospacing="0"/>
        <w:jc w:val="both"/>
        <w:rPr>
          <w:rFonts w:ascii="Arial" w:hAnsi="Arial" w:cs="Arial"/>
          <w:sz w:val="20"/>
          <w:szCs w:val="20"/>
        </w:rPr>
      </w:pPr>
    </w:p>
    <w:p w:rsidR="00BF6792" w:rsidRPr="00C67C91" w:rsidRDefault="00BF6792" w:rsidP="00A02770">
      <w:pPr>
        <w:pStyle w:val="NormalWeb"/>
        <w:spacing w:before="0" w:beforeAutospacing="0" w:after="0" w:afterAutospacing="0"/>
        <w:jc w:val="both"/>
        <w:rPr>
          <w:rFonts w:ascii="Arial" w:hAnsi="Arial" w:cs="Arial"/>
          <w:sz w:val="20"/>
          <w:szCs w:val="20"/>
        </w:rPr>
      </w:pPr>
    </w:p>
    <w:sectPr w:rsidR="00BF6792" w:rsidRPr="00C67C91" w:rsidSect="00573FE6">
      <w:headerReference w:type="default" r:id="rId14"/>
      <w:pgSz w:w="11907" w:h="16839"/>
      <w:pgMar w:top="1701" w:right="1701" w:bottom="1418" w:left="1701" w:header="68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EB7" w:rsidRDefault="004C0EB7" w:rsidP="0083067D">
      <w:pPr>
        <w:spacing w:after="0" w:line="240" w:lineRule="auto"/>
      </w:pPr>
      <w:r>
        <w:separator/>
      </w:r>
    </w:p>
  </w:endnote>
  <w:endnote w:type="continuationSeparator" w:id="0">
    <w:p w:rsidR="004C0EB7" w:rsidRDefault="004C0EB7" w:rsidP="00830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3B" w:rsidRDefault="007116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EB7" w:rsidRDefault="004C0EB7" w:rsidP="0083067D">
      <w:pPr>
        <w:spacing w:after="0" w:line="240" w:lineRule="auto"/>
      </w:pPr>
      <w:r>
        <w:separator/>
      </w:r>
    </w:p>
  </w:footnote>
  <w:footnote w:type="continuationSeparator" w:id="0">
    <w:p w:rsidR="004C0EB7" w:rsidRDefault="004C0EB7" w:rsidP="008306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3B" w:rsidRPr="0083067D" w:rsidRDefault="0071163B" w:rsidP="0083067D">
    <w:pPr>
      <w:pStyle w:val="Encabezado"/>
      <w:tabs>
        <w:tab w:val="clear" w:pos="8504"/>
        <w:tab w:val="right" w:pos="8462"/>
      </w:tabs>
      <w:rPr>
        <w:rFonts w:cs="Calibri"/>
        <w:sz w:val="20"/>
        <w:szCs w:val="20"/>
      </w:rPr>
    </w:pPr>
    <w:r w:rsidRPr="0083067D">
      <w:rPr>
        <w:rFonts w:cs="Calibri"/>
        <w:bCs/>
        <w:i/>
        <w:sz w:val="20"/>
        <w:szCs w:val="20"/>
      </w:rPr>
      <w:t xml:space="preserve">Cuentas Anuales </w:t>
    </w:r>
    <w:r>
      <w:rPr>
        <w:rFonts w:cs="Calibri"/>
        <w:bCs/>
        <w:i/>
        <w:sz w:val="20"/>
        <w:szCs w:val="20"/>
      </w:rPr>
      <w:t xml:space="preserve">Abreviadas de </w:t>
    </w:r>
    <w:proofErr w:type="spellStart"/>
    <w:r>
      <w:rPr>
        <w:rFonts w:cs="Calibri"/>
        <w:bCs/>
        <w:i/>
        <w:sz w:val="20"/>
        <w:szCs w:val="20"/>
      </w:rPr>
      <w:t>Canalink</w:t>
    </w:r>
    <w:proofErr w:type="spellEnd"/>
    <w:r>
      <w:rPr>
        <w:rFonts w:cs="Calibri"/>
        <w:bCs/>
        <w:i/>
        <w:sz w:val="20"/>
        <w:szCs w:val="20"/>
      </w:rPr>
      <w:t xml:space="preserve"> </w:t>
    </w:r>
    <w:proofErr w:type="spellStart"/>
    <w:r>
      <w:rPr>
        <w:rFonts w:cs="Calibri"/>
        <w:bCs/>
        <w:i/>
        <w:sz w:val="20"/>
        <w:szCs w:val="20"/>
      </w:rPr>
      <w:t>Africa</w:t>
    </w:r>
    <w:proofErr w:type="spellEnd"/>
    <w:r w:rsidRPr="0083067D">
      <w:rPr>
        <w:rFonts w:cs="Calibri"/>
        <w:bCs/>
        <w:i/>
        <w:sz w:val="20"/>
        <w:szCs w:val="20"/>
      </w:rPr>
      <w:t>, S.L.U.- Ejercicio 2019</w:t>
    </w:r>
    <w:r w:rsidRPr="0083067D">
      <w:rPr>
        <w:rFonts w:cs="Calibri"/>
        <w:bCs/>
        <w:i/>
        <w:sz w:val="20"/>
        <w:szCs w:val="20"/>
        <w:u w:val="single"/>
      </w:rPr>
      <w:tab/>
    </w:r>
    <w:r w:rsidR="00AD089A" w:rsidRPr="0083067D">
      <w:rPr>
        <w:rFonts w:cs="Calibri"/>
        <w:sz w:val="20"/>
        <w:szCs w:val="20"/>
      </w:rPr>
      <w:fldChar w:fldCharType="begin"/>
    </w:r>
    <w:r w:rsidRPr="0083067D">
      <w:rPr>
        <w:rFonts w:cs="Calibri"/>
        <w:sz w:val="20"/>
        <w:szCs w:val="20"/>
      </w:rPr>
      <w:instrText xml:space="preserve"> PAGE   \* MERGEFORMAT </w:instrText>
    </w:r>
    <w:r w:rsidR="00AD089A" w:rsidRPr="0083067D">
      <w:rPr>
        <w:rFonts w:cs="Calibri"/>
        <w:sz w:val="20"/>
        <w:szCs w:val="20"/>
      </w:rPr>
      <w:fldChar w:fldCharType="separate"/>
    </w:r>
    <w:r>
      <w:rPr>
        <w:rFonts w:cs="Calibri"/>
        <w:noProof/>
        <w:sz w:val="20"/>
        <w:szCs w:val="20"/>
      </w:rPr>
      <w:t>2</w:t>
    </w:r>
    <w:r w:rsidR="00AD089A" w:rsidRPr="0083067D">
      <w:rPr>
        <w:rFonts w:cs="Calibri"/>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3B" w:rsidRPr="00DE2B1D" w:rsidRDefault="0071163B" w:rsidP="00DE2B1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3B" w:rsidRPr="00D63117" w:rsidRDefault="0071163B" w:rsidP="00D63117">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3B" w:rsidRPr="00203EFC" w:rsidRDefault="0071163B" w:rsidP="00D63117">
    <w:pPr>
      <w:pStyle w:val="Encabezado"/>
      <w:tabs>
        <w:tab w:val="clear" w:pos="8504"/>
        <w:tab w:val="right" w:pos="8462"/>
      </w:tabs>
      <w:rPr>
        <w:rFonts w:ascii="Arial" w:hAnsi="Arial" w:cs="Arial"/>
        <w:bCs/>
        <w:i/>
        <w:sz w:val="18"/>
        <w:szCs w:val="18"/>
      </w:rPr>
    </w:pPr>
    <w:r w:rsidRPr="00203EFC">
      <w:rPr>
        <w:rFonts w:ascii="Arial" w:hAnsi="Arial" w:cs="Arial"/>
        <w:bCs/>
        <w:i/>
        <w:sz w:val="18"/>
        <w:szCs w:val="18"/>
      </w:rPr>
      <w:t xml:space="preserve">Cuentas Anuales Abreviadas de </w:t>
    </w:r>
    <w:proofErr w:type="spellStart"/>
    <w:r w:rsidRPr="00203EFC">
      <w:rPr>
        <w:rFonts w:ascii="Arial" w:hAnsi="Arial" w:cs="Arial"/>
        <w:bCs/>
        <w:i/>
        <w:sz w:val="18"/>
        <w:szCs w:val="18"/>
      </w:rPr>
      <w:t>Canalink</w:t>
    </w:r>
    <w:proofErr w:type="spellEnd"/>
    <w:r w:rsidRPr="00203EFC">
      <w:rPr>
        <w:rFonts w:ascii="Arial" w:hAnsi="Arial" w:cs="Arial"/>
        <w:bCs/>
        <w:i/>
        <w:sz w:val="18"/>
        <w:szCs w:val="18"/>
      </w:rPr>
      <w:t xml:space="preserve"> África, S.L.U.- Ejercicio 2020</w:t>
    </w:r>
    <w:r w:rsidRPr="00203EFC">
      <w:rPr>
        <w:rFonts w:ascii="Arial" w:hAnsi="Arial" w:cs="Arial"/>
        <w:bCs/>
        <w:i/>
        <w:sz w:val="18"/>
        <w:szCs w:val="18"/>
        <w:u w:val="single"/>
      </w:rPr>
      <w:tab/>
    </w:r>
    <w:r w:rsidR="00AD089A" w:rsidRPr="00203EFC">
      <w:rPr>
        <w:rFonts w:ascii="Arial" w:hAnsi="Arial" w:cs="Arial"/>
        <w:sz w:val="18"/>
        <w:szCs w:val="18"/>
      </w:rPr>
      <w:fldChar w:fldCharType="begin"/>
    </w:r>
    <w:r w:rsidRPr="00203EFC">
      <w:rPr>
        <w:rFonts w:ascii="Arial" w:hAnsi="Arial" w:cs="Arial"/>
        <w:sz w:val="18"/>
        <w:szCs w:val="18"/>
      </w:rPr>
      <w:instrText xml:space="preserve"> PAGE   \* MERGEFORMAT </w:instrText>
    </w:r>
    <w:r w:rsidR="00AD089A" w:rsidRPr="00203EFC">
      <w:rPr>
        <w:rFonts w:ascii="Arial" w:hAnsi="Arial" w:cs="Arial"/>
        <w:sz w:val="18"/>
        <w:szCs w:val="18"/>
      </w:rPr>
      <w:fldChar w:fldCharType="separate"/>
    </w:r>
    <w:r w:rsidR="008F331C">
      <w:rPr>
        <w:rFonts w:ascii="Arial" w:hAnsi="Arial" w:cs="Arial"/>
        <w:noProof/>
        <w:sz w:val="18"/>
        <w:szCs w:val="18"/>
      </w:rPr>
      <w:t>2</w:t>
    </w:r>
    <w:r w:rsidR="00AD089A" w:rsidRPr="00203EFC">
      <w:rPr>
        <w:rFonts w:ascii="Arial" w:hAnsi="Arial" w:cs="Arial"/>
        <w:sz w:val="18"/>
        <w:szCs w:val="1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3B" w:rsidRPr="00203EFC" w:rsidRDefault="0071163B" w:rsidP="00D63117">
    <w:pPr>
      <w:pStyle w:val="Encabezado"/>
      <w:tabs>
        <w:tab w:val="clear" w:pos="8504"/>
        <w:tab w:val="right" w:pos="8462"/>
      </w:tabs>
      <w:rPr>
        <w:rFonts w:ascii="Arial" w:hAnsi="Arial" w:cs="Arial"/>
        <w:bCs/>
        <w:i/>
        <w:sz w:val="18"/>
        <w:szCs w:val="18"/>
      </w:rPr>
    </w:pPr>
    <w:r w:rsidRPr="00203EFC">
      <w:rPr>
        <w:rFonts w:ascii="Arial" w:hAnsi="Arial" w:cs="Arial"/>
        <w:bCs/>
        <w:i/>
        <w:sz w:val="18"/>
        <w:szCs w:val="18"/>
      </w:rPr>
      <w:t xml:space="preserve">Cuentas Anuales Abreviadas de </w:t>
    </w:r>
    <w:proofErr w:type="spellStart"/>
    <w:r w:rsidRPr="00203EFC">
      <w:rPr>
        <w:rFonts w:ascii="Arial" w:hAnsi="Arial" w:cs="Arial"/>
        <w:bCs/>
        <w:i/>
        <w:sz w:val="18"/>
        <w:szCs w:val="18"/>
      </w:rPr>
      <w:t>Canalink</w:t>
    </w:r>
    <w:proofErr w:type="spellEnd"/>
    <w:r w:rsidRPr="00203EFC">
      <w:rPr>
        <w:rFonts w:ascii="Arial" w:hAnsi="Arial" w:cs="Arial"/>
        <w:bCs/>
        <w:i/>
        <w:sz w:val="18"/>
        <w:szCs w:val="18"/>
      </w:rPr>
      <w:t xml:space="preserve"> África, S.L.U.- Ejercicio 2020</w:t>
    </w:r>
    <w:r w:rsidRPr="00203EFC">
      <w:rPr>
        <w:rFonts w:ascii="Arial" w:hAnsi="Arial" w:cs="Arial"/>
        <w:bCs/>
        <w:i/>
        <w:sz w:val="18"/>
        <w:szCs w:val="18"/>
        <w:u w:val="single"/>
      </w:rPr>
      <w:tab/>
    </w:r>
    <w:r w:rsidR="00AD089A" w:rsidRPr="00203EFC">
      <w:rPr>
        <w:rFonts w:ascii="Arial" w:hAnsi="Arial" w:cs="Arial"/>
        <w:sz w:val="18"/>
        <w:szCs w:val="18"/>
      </w:rPr>
      <w:fldChar w:fldCharType="begin"/>
    </w:r>
    <w:r w:rsidRPr="00203EFC">
      <w:rPr>
        <w:rFonts w:ascii="Arial" w:hAnsi="Arial" w:cs="Arial"/>
        <w:sz w:val="18"/>
        <w:szCs w:val="18"/>
      </w:rPr>
      <w:instrText xml:space="preserve"> PAGE   \* MERGEFORMAT </w:instrText>
    </w:r>
    <w:r w:rsidR="00AD089A" w:rsidRPr="00203EFC">
      <w:rPr>
        <w:rFonts w:ascii="Arial" w:hAnsi="Arial" w:cs="Arial"/>
        <w:sz w:val="18"/>
        <w:szCs w:val="18"/>
      </w:rPr>
      <w:fldChar w:fldCharType="separate"/>
    </w:r>
    <w:r w:rsidR="008F331C">
      <w:rPr>
        <w:rFonts w:ascii="Arial" w:hAnsi="Arial" w:cs="Arial"/>
        <w:noProof/>
        <w:sz w:val="18"/>
        <w:szCs w:val="18"/>
      </w:rPr>
      <w:t>21</w:t>
    </w:r>
    <w:r w:rsidR="00AD089A" w:rsidRPr="00203EFC">
      <w:rPr>
        <w:rFonts w:ascii="Arial" w:hAnsi="Arial" w:cs="Arial"/>
        <w:sz w:val="18"/>
        <w:szCs w:val="1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3B" w:rsidRPr="0020061C" w:rsidRDefault="0071163B" w:rsidP="00D63117">
    <w:pPr>
      <w:pStyle w:val="Encabezado"/>
      <w:tabs>
        <w:tab w:val="clear" w:pos="8504"/>
        <w:tab w:val="right" w:pos="8462"/>
      </w:tabs>
      <w:rPr>
        <w:rFonts w:ascii="Arial" w:hAnsi="Arial" w:cs="Arial"/>
        <w:bCs/>
        <w:i/>
        <w:sz w:val="18"/>
        <w:szCs w:val="18"/>
      </w:rPr>
    </w:pPr>
    <w:r w:rsidRPr="0020061C">
      <w:rPr>
        <w:rFonts w:ascii="Arial" w:hAnsi="Arial" w:cs="Arial"/>
        <w:bCs/>
        <w:i/>
        <w:sz w:val="18"/>
        <w:szCs w:val="18"/>
      </w:rPr>
      <w:t xml:space="preserve">Formulación de las Cuentas Anuales Abreviadas de </w:t>
    </w:r>
    <w:proofErr w:type="spellStart"/>
    <w:r w:rsidRPr="0020061C">
      <w:rPr>
        <w:rFonts w:ascii="Arial" w:hAnsi="Arial" w:cs="Arial"/>
        <w:bCs/>
        <w:i/>
        <w:sz w:val="18"/>
        <w:szCs w:val="18"/>
      </w:rPr>
      <w:t>Canalink</w:t>
    </w:r>
    <w:proofErr w:type="spellEnd"/>
    <w:r w:rsidRPr="0020061C">
      <w:rPr>
        <w:rFonts w:ascii="Arial" w:hAnsi="Arial" w:cs="Arial"/>
        <w:bCs/>
        <w:i/>
        <w:sz w:val="18"/>
        <w:szCs w:val="18"/>
      </w:rPr>
      <w:t xml:space="preserve"> África, S.L.U.- Ejercicio 2020</w:t>
    </w:r>
    <w:r w:rsidRPr="0020061C">
      <w:rPr>
        <w:rFonts w:ascii="Arial" w:hAnsi="Arial" w:cs="Arial"/>
        <w:bCs/>
        <w:i/>
        <w:sz w:val="18"/>
        <w:szCs w:val="18"/>
        <w:u w:val="single"/>
      </w:rPr>
      <w:tab/>
    </w:r>
    <w:r w:rsidR="00AD089A" w:rsidRPr="0020061C">
      <w:rPr>
        <w:rFonts w:ascii="Arial" w:hAnsi="Arial" w:cs="Arial"/>
        <w:i/>
        <w:sz w:val="18"/>
        <w:szCs w:val="18"/>
      </w:rPr>
      <w:fldChar w:fldCharType="begin"/>
    </w:r>
    <w:r w:rsidRPr="0020061C">
      <w:rPr>
        <w:rFonts w:ascii="Arial" w:hAnsi="Arial" w:cs="Arial"/>
        <w:i/>
        <w:sz w:val="18"/>
        <w:szCs w:val="18"/>
      </w:rPr>
      <w:instrText xml:space="preserve"> PAGE   \* MERGEFORMAT </w:instrText>
    </w:r>
    <w:r w:rsidR="00AD089A" w:rsidRPr="0020061C">
      <w:rPr>
        <w:rFonts w:ascii="Arial" w:hAnsi="Arial" w:cs="Arial"/>
        <w:i/>
        <w:sz w:val="18"/>
        <w:szCs w:val="18"/>
      </w:rPr>
      <w:fldChar w:fldCharType="separate"/>
    </w:r>
    <w:r w:rsidR="008F331C">
      <w:rPr>
        <w:rFonts w:ascii="Arial" w:hAnsi="Arial" w:cs="Arial"/>
        <w:i/>
        <w:noProof/>
        <w:sz w:val="18"/>
        <w:szCs w:val="18"/>
      </w:rPr>
      <w:t>22</w:t>
    </w:r>
    <w:r w:rsidR="00AD089A" w:rsidRPr="0020061C">
      <w:rPr>
        <w:rFonts w:ascii="Arial" w:hAnsi="Arial" w:cs="Arial"/>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83C34"/>
    <w:multiLevelType w:val="hybridMultilevel"/>
    <w:tmpl w:val="B08C784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21146BF"/>
    <w:multiLevelType w:val="hybridMultilevel"/>
    <w:tmpl w:val="8BA0E1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21DB1742"/>
    <w:multiLevelType w:val="hybridMultilevel"/>
    <w:tmpl w:val="1D883DF6"/>
    <w:lvl w:ilvl="0" w:tplc="5E3E04A8">
      <w:start w:val="3"/>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228E54A4"/>
    <w:multiLevelType w:val="hybridMultilevel"/>
    <w:tmpl w:val="41E679B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27FF245A"/>
    <w:multiLevelType w:val="hybridMultilevel"/>
    <w:tmpl w:val="975C401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nsid w:val="7BF24830"/>
    <w:multiLevelType w:val="hybridMultilevel"/>
    <w:tmpl w:val="79C861F4"/>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
    <w:nsid w:val="7D7DE1A2"/>
    <w:multiLevelType w:val="hybridMultilevel"/>
    <w:tmpl w:val="AF2995C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7"/>
  </w:num>
  <w:num w:numId="2">
    <w:abstractNumId w:val="1"/>
  </w:num>
  <w:num w:numId="3">
    <w:abstractNumId w:val="5"/>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2F7219"/>
    <w:rsid w:val="00011634"/>
    <w:rsid w:val="00014714"/>
    <w:rsid w:val="0002716D"/>
    <w:rsid w:val="00034244"/>
    <w:rsid w:val="00042B36"/>
    <w:rsid w:val="000567DA"/>
    <w:rsid w:val="0006176A"/>
    <w:rsid w:val="00081B9F"/>
    <w:rsid w:val="00090E54"/>
    <w:rsid w:val="000B3026"/>
    <w:rsid w:val="000B6BBD"/>
    <w:rsid w:val="000D57B2"/>
    <w:rsid w:val="000E241A"/>
    <w:rsid w:val="001022B9"/>
    <w:rsid w:val="001027F9"/>
    <w:rsid w:val="001239B5"/>
    <w:rsid w:val="00150594"/>
    <w:rsid w:val="00160F0B"/>
    <w:rsid w:val="00171A08"/>
    <w:rsid w:val="00192989"/>
    <w:rsid w:val="001C0380"/>
    <w:rsid w:val="001C3B7E"/>
    <w:rsid w:val="001C5ACE"/>
    <w:rsid w:val="001D3B03"/>
    <w:rsid w:val="001D4FE3"/>
    <w:rsid w:val="001D763A"/>
    <w:rsid w:val="001F4A4B"/>
    <w:rsid w:val="0020061C"/>
    <w:rsid w:val="00203EFC"/>
    <w:rsid w:val="002148D7"/>
    <w:rsid w:val="00247397"/>
    <w:rsid w:val="00254EDF"/>
    <w:rsid w:val="002672FE"/>
    <w:rsid w:val="00273561"/>
    <w:rsid w:val="00275DF2"/>
    <w:rsid w:val="002767D9"/>
    <w:rsid w:val="00293CE7"/>
    <w:rsid w:val="002A5B4A"/>
    <w:rsid w:val="002A6B41"/>
    <w:rsid w:val="002A6F2C"/>
    <w:rsid w:val="002B58ED"/>
    <w:rsid w:val="002C7312"/>
    <w:rsid w:val="002C7B5E"/>
    <w:rsid w:val="002D40F2"/>
    <w:rsid w:val="002F0727"/>
    <w:rsid w:val="002F37BA"/>
    <w:rsid w:val="002F7219"/>
    <w:rsid w:val="00300505"/>
    <w:rsid w:val="00315483"/>
    <w:rsid w:val="0032063A"/>
    <w:rsid w:val="0032364F"/>
    <w:rsid w:val="0032528F"/>
    <w:rsid w:val="003304F9"/>
    <w:rsid w:val="00332BDC"/>
    <w:rsid w:val="00332D3A"/>
    <w:rsid w:val="00336822"/>
    <w:rsid w:val="00342CF0"/>
    <w:rsid w:val="00346ED7"/>
    <w:rsid w:val="00354071"/>
    <w:rsid w:val="00366C7D"/>
    <w:rsid w:val="00383B30"/>
    <w:rsid w:val="003A2143"/>
    <w:rsid w:val="003B4D65"/>
    <w:rsid w:val="003B6573"/>
    <w:rsid w:val="003B676E"/>
    <w:rsid w:val="003C1D86"/>
    <w:rsid w:val="003C2A35"/>
    <w:rsid w:val="003C5035"/>
    <w:rsid w:val="003D1C28"/>
    <w:rsid w:val="003D7BD2"/>
    <w:rsid w:val="003E0CED"/>
    <w:rsid w:val="003E25F4"/>
    <w:rsid w:val="003F11A1"/>
    <w:rsid w:val="003F371C"/>
    <w:rsid w:val="003F6133"/>
    <w:rsid w:val="003F6896"/>
    <w:rsid w:val="00401C0F"/>
    <w:rsid w:val="00403B74"/>
    <w:rsid w:val="00403BC5"/>
    <w:rsid w:val="00417A4A"/>
    <w:rsid w:val="004353E6"/>
    <w:rsid w:val="004421E3"/>
    <w:rsid w:val="00444504"/>
    <w:rsid w:val="00447734"/>
    <w:rsid w:val="00465210"/>
    <w:rsid w:val="00483DE4"/>
    <w:rsid w:val="004A6217"/>
    <w:rsid w:val="004A6AAC"/>
    <w:rsid w:val="004B7ABD"/>
    <w:rsid w:val="004C0EB7"/>
    <w:rsid w:val="004E129B"/>
    <w:rsid w:val="004F5597"/>
    <w:rsid w:val="004F79FD"/>
    <w:rsid w:val="0050194F"/>
    <w:rsid w:val="00510594"/>
    <w:rsid w:val="005222BE"/>
    <w:rsid w:val="00523925"/>
    <w:rsid w:val="00526344"/>
    <w:rsid w:val="00532A4D"/>
    <w:rsid w:val="005346CA"/>
    <w:rsid w:val="00535039"/>
    <w:rsid w:val="00556E7B"/>
    <w:rsid w:val="00561EFB"/>
    <w:rsid w:val="00566B37"/>
    <w:rsid w:val="00573FE6"/>
    <w:rsid w:val="00575A5E"/>
    <w:rsid w:val="005856BB"/>
    <w:rsid w:val="0059775A"/>
    <w:rsid w:val="005A0FDC"/>
    <w:rsid w:val="005C00A2"/>
    <w:rsid w:val="005C0B0B"/>
    <w:rsid w:val="005C158A"/>
    <w:rsid w:val="005D097D"/>
    <w:rsid w:val="005D70ED"/>
    <w:rsid w:val="005F2AFD"/>
    <w:rsid w:val="0060441E"/>
    <w:rsid w:val="00611D06"/>
    <w:rsid w:val="00651019"/>
    <w:rsid w:val="00654C9B"/>
    <w:rsid w:val="00656EDA"/>
    <w:rsid w:val="00693CD3"/>
    <w:rsid w:val="00695595"/>
    <w:rsid w:val="006A694F"/>
    <w:rsid w:val="006B6B57"/>
    <w:rsid w:val="006C5EB3"/>
    <w:rsid w:val="006E67C3"/>
    <w:rsid w:val="006F1EE9"/>
    <w:rsid w:val="0071163B"/>
    <w:rsid w:val="00727CB4"/>
    <w:rsid w:val="007555F0"/>
    <w:rsid w:val="00756F01"/>
    <w:rsid w:val="007674DB"/>
    <w:rsid w:val="00777045"/>
    <w:rsid w:val="00781612"/>
    <w:rsid w:val="00792094"/>
    <w:rsid w:val="007A0509"/>
    <w:rsid w:val="007B6702"/>
    <w:rsid w:val="007C6978"/>
    <w:rsid w:val="007D67E2"/>
    <w:rsid w:val="007D751F"/>
    <w:rsid w:val="007E7309"/>
    <w:rsid w:val="007F4BD9"/>
    <w:rsid w:val="00800CC5"/>
    <w:rsid w:val="008067FC"/>
    <w:rsid w:val="00824FFF"/>
    <w:rsid w:val="0083067D"/>
    <w:rsid w:val="00834BC2"/>
    <w:rsid w:val="00850FC5"/>
    <w:rsid w:val="0085189D"/>
    <w:rsid w:val="00855841"/>
    <w:rsid w:val="00855E6B"/>
    <w:rsid w:val="00865C1E"/>
    <w:rsid w:val="008850CB"/>
    <w:rsid w:val="00885BAC"/>
    <w:rsid w:val="008912BE"/>
    <w:rsid w:val="008A1A4C"/>
    <w:rsid w:val="008B4DD0"/>
    <w:rsid w:val="008C1253"/>
    <w:rsid w:val="008C1D63"/>
    <w:rsid w:val="008C2F9C"/>
    <w:rsid w:val="008C639D"/>
    <w:rsid w:val="008D7833"/>
    <w:rsid w:val="008E3120"/>
    <w:rsid w:val="008F331C"/>
    <w:rsid w:val="008F5D63"/>
    <w:rsid w:val="0090086E"/>
    <w:rsid w:val="00900DC7"/>
    <w:rsid w:val="00901252"/>
    <w:rsid w:val="00913B92"/>
    <w:rsid w:val="009173A1"/>
    <w:rsid w:val="00951C2B"/>
    <w:rsid w:val="00960D85"/>
    <w:rsid w:val="00974DE2"/>
    <w:rsid w:val="00983E01"/>
    <w:rsid w:val="00991293"/>
    <w:rsid w:val="00991E09"/>
    <w:rsid w:val="009A717B"/>
    <w:rsid w:val="009B1AC6"/>
    <w:rsid w:val="009C191B"/>
    <w:rsid w:val="009E7F7B"/>
    <w:rsid w:val="009F2BFB"/>
    <w:rsid w:val="009F3580"/>
    <w:rsid w:val="009F674C"/>
    <w:rsid w:val="00A02770"/>
    <w:rsid w:val="00A10C02"/>
    <w:rsid w:val="00A17523"/>
    <w:rsid w:val="00A20D7F"/>
    <w:rsid w:val="00A5063C"/>
    <w:rsid w:val="00A625ED"/>
    <w:rsid w:val="00A70138"/>
    <w:rsid w:val="00A738E2"/>
    <w:rsid w:val="00A90A7E"/>
    <w:rsid w:val="00A97633"/>
    <w:rsid w:val="00AA15E2"/>
    <w:rsid w:val="00AD089A"/>
    <w:rsid w:val="00AD6D63"/>
    <w:rsid w:val="00AE0EAE"/>
    <w:rsid w:val="00AE369C"/>
    <w:rsid w:val="00AF4C3B"/>
    <w:rsid w:val="00B053B1"/>
    <w:rsid w:val="00B07F15"/>
    <w:rsid w:val="00B1685C"/>
    <w:rsid w:val="00B17922"/>
    <w:rsid w:val="00B251DB"/>
    <w:rsid w:val="00B32952"/>
    <w:rsid w:val="00B467FA"/>
    <w:rsid w:val="00B51ABC"/>
    <w:rsid w:val="00B73209"/>
    <w:rsid w:val="00B80064"/>
    <w:rsid w:val="00B94D7B"/>
    <w:rsid w:val="00B9531C"/>
    <w:rsid w:val="00BA7C9B"/>
    <w:rsid w:val="00BB30C6"/>
    <w:rsid w:val="00BB5F57"/>
    <w:rsid w:val="00BD0072"/>
    <w:rsid w:val="00BF09D9"/>
    <w:rsid w:val="00BF656B"/>
    <w:rsid w:val="00BF6792"/>
    <w:rsid w:val="00C06FF6"/>
    <w:rsid w:val="00C12036"/>
    <w:rsid w:val="00C438D9"/>
    <w:rsid w:val="00C5477A"/>
    <w:rsid w:val="00C61038"/>
    <w:rsid w:val="00C62C17"/>
    <w:rsid w:val="00C63E38"/>
    <w:rsid w:val="00C67C91"/>
    <w:rsid w:val="00C70996"/>
    <w:rsid w:val="00C74514"/>
    <w:rsid w:val="00C92797"/>
    <w:rsid w:val="00CB128F"/>
    <w:rsid w:val="00CC451B"/>
    <w:rsid w:val="00CD18D6"/>
    <w:rsid w:val="00CD615F"/>
    <w:rsid w:val="00CD65A7"/>
    <w:rsid w:val="00CF32BA"/>
    <w:rsid w:val="00CF7B3D"/>
    <w:rsid w:val="00D10D70"/>
    <w:rsid w:val="00D30ACD"/>
    <w:rsid w:val="00D30DFA"/>
    <w:rsid w:val="00D36A30"/>
    <w:rsid w:val="00D37A14"/>
    <w:rsid w:val="00D6164D"/>
    <w:rsid w:val="00D63117"/>
    <w:rsid w:val="00D67FC5"/>
    <w:rsid w:val="00DB76FA"/>
    <w:rsid w:val="00DD07FC"/>
    <w:rsid w:val="00DD305A"/>
    <w:rsid w:val="00DD3FE4"/>
    <w:rsid w:val="00DE2B1D"/>
    <w:rsid w:val="00DE3E3E"/>
    <w:rsid w:val="00DE7996"/>
    <w:rsid w:val="00DE7BF0"/>
    <w:rsid w:val="00DF2B56"/>
    <w:rsid w:val="00DF3A68"/>
    <w:rsid w:val="00E06354"/>
    <w:rsid w:val="00E34349"/>
    <w:rsid w:val="00E37520"/>
    <w:rsid w:val="00E45C78"/>
    <w:rsid w:val="00E45FFA"/>
    <w:rsid w:val="00E544F6"/>
    <w:rsid w:val="00E60ADA"/>
    <w:rsid w:val="00E61BDE"/>
    <w:rsid w:val="00E66E4F"/>
    <w:rsid w:val="00E67242"/>
    <w:rsid w:val="00E72FA8"/>
    <w:rsid w:val="00E77FC1"/>
    <w:rsid w:val="00E820C9"/>
    <w:rsid w:val="00E9148E"/>
    <w:rsid w:val="00E96706"/>
    <w:rsid w:val="00EA0967"/>
    <w:rsid w:val="00EA704C"/>
    <w:rsid w:val="00ED657B"/>
    <w:rsid w:val="00EE1262"/>
    <w:rsid w:val="00EE2D79"/>
    <w:rsid w:val="00EF0678"/>
    <w:rsid w:val="00EF0811"/>
    <w:rsid w:val="00F053D9"/>
    <w:rsid w:val="00F1321E"/>
    <w:rsid w:val="00F26930"/>
    <w:rsid w:val="00F2792E"/>
    <w:rsid w:val="00F3402C"/>
    <w:rsid w:val="00F37A02"/>
    <w:rsid w:val="00F463E6"/>
    <w:rsid w:val="00F53014"/>
    <w:rsid w:val="00F716EC"/>
    <w:rsid w:val="00F80C25"/>
    <w:rsid w:val="00F87E0A"/>
    <w:rsid w:val="00FA16A4"/>
    <w:rsid w:val="00FA495B"/>
    <w:rsid w:val="00FD108B"/>
    <w:rsid w:val="00FD6B58"/>
    <w:rsid w:val="00FE0DE8"/>
    <w:rsid w:val="00FF00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D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7A14"/>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9">
    <w:name w:val="CM19"/>
    <w:basedOn w:val="Default"/>
    <w:next w:val="Default"/>
    <w:uiPriority w:val="99"/>
    <w:rsid w:val="00D37A14"/>
    <w:pPr>
      <w:spacing w:after="698"/>
    </w:pPr>
    <w:rPr>
      <w:color w:val="auto"/>
    </w:rPr>
  </w:style>
  <w:style w:type="paragraph" w:customStyle="1" w:styleId="CM1">
    <w:name w:val="CM1"/>
    <w:basedOn w:val="Default"/>
    <w:next w:val="Default"/>
    <w:uiPriority w:val="99"/>
    <w:rsid w:val="00D37A14"/>
    <w:rPr>
      <w:color w:val="auto"/>
    </w:rPr>
  </w:style>
  <w:style w:type="paragraph" w:customStyle="1" w:styleId="CM20">
    <w:name w:val="CM20"/>
    <w:basedOn w:val="Default"/>
    <w:next w:val="Default"/>
    <w:uiPriority w:val="99"/>
    <w:rsid w:val="00D37A14"/>
    <w:pPr>
      <w:spacing w:after="230"/>
    </w:pPr>
    <w:rPr>
      <w:color w:val="auto"/>
    </w:rPr>
  </w:style>
  <w:style w:type="paragraph" w:customStyle="1" w:styleId="CM21">
    <w:name w:val="CM21"/>
    <w:basedOn w:val="Default"/>
    <w:next w:val="Default"/>
    <w:uiPriority w:val="99"/>
    <w:rsid w:val="00D37A14"/>
    <w:pPr>
      <w:spacing w:after="600"/>
    </w:pPr>
    <w:rPr>
      <w:color w:val="auto"/>
    </w:rPr>
  </w:style>
  <w:style w:type="paragraph" w:customStyle="1" w:styleId="CM2">
    <w:name w:val="CM2"/>
    <w:basedOn w:val="Default"/>
    <w:next w:val="Default"/>
    <w:uiPriority w:val="99"/>
    <w:rsid w:val="00D37A14"/>
    <w:pPr>
      <w:spacing w:line="231" w:lineRule="atLeast"/>
    </w:pPr>
    <w:rPr>
      <w:color w:val="auto"/>
    </w:rPr>
  </w:style>
  <w:style w:type="paragraph" w:customStyle="1" w:styleId="CM3">
    <w:name w:val="CM3"/>
    <w:basedOn w:val="Default"/>
    <w:next w:val="Default"/>
    <w:uiPriority w:val="99"/>
    <w:rsid w:val="00D37A14"/>
    <w:pPr>
      <w:spacing w:line="233" w:lineRule="atLeast"/>
    </w:pPr>
    <w:rPr>
      <w:color w:val="auto"/>
    </w:rPr>
  </w:style>
  <w:style w:type="paragraph" w:customStyle="1" w:styleId="CM4">
    <w:name w:val="CM4"/>
    <w:basedOn w:val="Default"/>
    <w:next w:val="Default"/>
    <w:uiPriority w:val="99"/>
    <w:rsid w:val="00D37A14"/>
    <w:pPr>
      <w:spacing w:line="231" w:lineRule="atLeast"/>
    </w:pPr>
    <w:rPr>
      <w:color w:val="auto"/>
    </w:rPr>
  </w:style>
  <w:style w:type="paragraph" w:customStyle="1" w:styleId="CM22">
    <w:name w:val="CM22"/>
    <w:basedOn w:val="Default"/>
    <w:next w:val="Default"/>
    <w:uiPriority w:val="99"/>
    <w:rsid w:val="00D37A14"/>
    <w:pPr>
      <w:spacing w:after="120"/>
    </w:pPr>
    <w:rPr>
      <w:color w:val="auto"/>
    </w:rPr>
  </w:style>
  <w:style w:type="paragraph" w:customStyle="1" w:styleId="CM23">
    <w:name w:val="CM23"/>
    <w:basedOn w:val="Default"/>
    <w:next w:val="Default"/>
    <w:uiPriority w:val="99"/>
    <w:rsid w:val="00D37A14"/>
    <w:pPr>
      <w:spacing w:after="465"/>
    </w:pPr>
    <w:rPr>
      <w:color w:val="auto"/>
    </w:rPr>
  </w:style>
  <w:style w:type="paragraph" w:customStyle="1" w:styleId="CM5">
    <w:name w:val="CM5"/>
    <w:basedOn w:val="Default"/>
    <w:next w:val="Default"/>
    <w:uiPriority w:val="99"/>
    <w:rsid w:val="00D37A14"/>
    <w:pPr>
      <w:spacing w:line="231" w:lineRule="atLeast"/>
    </w:pPr>
    <w:rPr>
      <w:color w:val="auto"/>
    </w:rPr>
  </w:style>
  <w:style w:type="paragraph" w:customStyle="1" w:styleId="CM6">
    <w:name w:val="CM6"/>
    <w:basedOn w:val="Default"/>
    <w:next w:val="Default"/>
    <w:uiPriority w:val="99"/>
    <w:rsid w:val="00D37A14"/>
    <w:rPr>
      <w:color w:val="auto"/>
    </w:rPr>
  </w:style>
  <w:style w:type="paragraph" w:customStyle="1" w:styleId="CM7">
    <w:name w:val="CM7"/>
    <w:basedOn w:val="Default"/>
    <w:next w:val="Default"/>
    <w:uiPriority w:val="99"/>
    <w:rsid w:val="00D37A14"/>
    <w:pPr>
      <w:spacing w:line="236" w:lineRule="atLeast"/>
    </w:pPr>
    <w:rPr>
      <w:color w:val="auto"/>
    </w:rPr>
  </w:style>
  <w:style w:type="paragraph" w:customStyle="1" w:styleId="CM8">
    <w:name w:val="CM8"/>
    <w:basedOn w:val="Default"/>
    <w:next w:val="Default"/>
    <w:uiPriority w:val="99"/>
    <w:rsid w:val="00D37A14"/>
    <w:rPr>
      <w:color w:val="auto"/>
    </w:rPr>
  </w:style>
  <w:style w:type="paragraph" w:customStyle="1" w:styleId="CM9">
    <w:name w:val="CM9"/>
    <w:basedOn w:val="Default"/>
    <w:next w:val="Default"/>
    <w:uiPriority w:val="99"/>
    <w:rsid w:val="00D37A14"/>
    <w:pPr>
      <w:spacing w:line="243" w:lineRule="atLeast"/>
    </w:pPr>
    <w:rPr>
      <w:color w:val="auto"/>
    </w:rPr>
  </w:style>
  <w:style w:type="paragraph" w:customStyle="1" w:styleId="CM10">
    <w:name w:val="CM10"/>
    <w:basedOn w:val="Default"/>
    <w:next w:val="Default"/>
    <w:uiPriority w:val="99"/>
    <w:rsid w:val="00D37A14"/>
    <w:pPr>
      <w:spacing w:line="240" w:lineRule="atLeast"/>
    </w:pPr>
    <w:rPr>
      <w:color w:val="auto"/>
    </w:rPr>
  </w:style>
  <w:style w:type="paragraph" w:customStyle="1" w:styleId="CM12">
    <w:name w:val="CM12"/>
    <w:basedOn w:val="Default"/>
    <w:next w:val="Default"/>
    <w:uiPriority w:val="99"/>
    <w:rsid w:val="00D37A14"/>
    <w:pPr>
      <w:spacing w:line="231" w:lineRule="atLeast"/>
    </w:pPr>
    <w:rPr>
      <w:color w:val="auto"/>
    </w:rPr>
  </w:style>
  <w:style w:type="paragraph" w:customStyle="1" w:styleId="CM13">
    <w:name w:val="CM13"/>
    <w:basedOn w:val="Default"/>
    <w:next w:val="Default"/>
    <w:uiPriority w:val="99"/>
    <w:rsid w:val="00D37A14"/>
    <w:pPr>
      <w:spacing w:line="231" w:lineRule="atLeast"/>
    </w:pPr>
    <w:rPr>
      <w:color w:val="auto"/>
    </w:rPr>
  </w:style>
  <w:style w:type="paragraph" w:customStyle="1" w:styleId="CM25">
    <w:name w:val="CM25"/>
    <w:basedOn w:val="Default"/>
    <w:next w:val="Default"/>
    <w:uiPriority w:val="99"/>
    <w:rsid w:val="00D37A14"/>
    <w:pPr>
      <w:spacing w:after="555"/>
    </w:pPr>
    <w:rPr>
      <w:color w:val="auto"/>
    </w:rPr>
  </w:style>
  <w:style w:type="paragraph" w:customStyle="1" w:styleId="CM14">
    <w:name w:val="CM14"/>
    <w:basedOn w:val="Default"/>
    <w:next w:val="Default"/>
    <w:uiPriority w:val="99"/>
    <w:rsid w:val="00D37A14"/>
    <w:pPr>
      <w:spacing w:line="460" w:lineRule="atLeast"/>
    </w:pPr>
    <w:rPr>
      <w:color w:val="auto"/>
    </w:rPr>
  </w:style>
  <w:style w:type="paragraph" w:customStyle="1" w:styleId="CM26">
    <w:name w:val="CM26"/>
    <w:basedOn w:val="Default"/>
    <w:next w:val="Default"/>
    <w:uiPriority w:val="99"/>
    <w:rsid w:val="00D37A14"/>
    <w:pPr>
      <w:spacing w:after="343"/>
    </w:pPr>
    <w:rPr>
      <w:color w:val="auto"/>
    </w:rPr>
  </w:style>
  <w:style w:type="paragraph" w:customStyle="1" w:styleId="CM15">
    <w:name w:val="CM15"/>
    <w:basedOn w:val="Default"/>
    <w:next w:val="Default"/>
    <w:uiPriority w:val="99"/>
    <w:rsid w:val="00D37A14"/>
    <w:pPr>
      <w:spacing w:line="231" w:lineRule="atLeast"/>
    </w:pPr>
    <w:rPr>
      <w:color w:val="auto"/>
    </w:rPr>
  </w:style>
  <w:style w:type="paragraph" w:customStyle="1" w:styleId="CM16">
    <w:name w:val="CM16"/>
    <w:basedOn w:val="Default"/>
    <w:next w:val="Default"/>
    <w:uiPriority w:val="99"/>
    <w:rsid w:val="00D37A14"/>
    <w:pPr>
      <w:spacing w:line="460" w:lineRule="atLeast"/>
    </w:pPr>
    <w:rPr>
      <w:color w:val="auto"/>
    </w:rPr>
  </w:style>
  <w:style w:type="paragraph" w:customStyle="1" w:styleId="CM27">
    <w:name w:val="CM27"/>
    <w:basedOn w:val="Default"/>
    <w:next w:val="Default"/>
    <w:uiPriority w:val="99"/>
    <w:rsid w:val="00D37A14"/>
    <w:pPr>
      <w:spacing w:after="307"/>
    </w:pPr>
    <w:rPr>
      <w:color w:val="auto"/>
    </w:rPr>
  </w:style>
  <w:style w:type="paragraph" w:customStyle="1" w:styleId="CM17">
    <w:name w:val="CM17"/>
    <w:basedOn w:val="Default"/>
    <w:next w:val="Default"/>
    <w:uiPriority w:val="99"/>
    <w:rsid w:val="00D37A14"/>
    <w:pPr>
      <w:spacing w:line="306" w:lineRule="atLeast"/>
    </w:pPr>
    <w:rPr>
      <w:color w:val="auto"/>
    </w:rPr>
  </w:style>
  <w:style w:type="paragraph" w:customStyle="1" w:styleId="CM18">
    <w:name w:val="CM18"/>
    <w:basedOn w:val="Default"/>
    <w:next w:val="Default"/>
    <w:uiPriority w:val="99"/>
    <w:rsid w:val="00D37A14"/>
    <w:pPr>
      <w:spacing w:line="303" w:lineRule="atLeast"/>
    </w:pPr>
    <w:rPr>
      <w:color w:val="auto"/>
    </w:rPr>
  </w:style>
  <w:style w:type="paragraph" w:customStyle="1" w:styleId="CM28">
    <w:name w:val="CM28"/>
    <w:basedOn w:val="Default"/>
    <w:next w:val="Default"/>
    <w:uiPriority w:val="99"/>
    <w:rsid w:val="00D37A14"/>
    <w:pPr>
      <w:spacing w:after="795"/>
    </w:pPr>
    <w:rPr>
      <w:color w:val="auto"/>
    </w:rPr>
  </w:style>
  <w:style w:type="paragraph" w:styleId="Encabezado">
    <w:name w:val="header"/>
    <w:basedOn w:val="Normal"/>
    <w:link w:val="EncabezadoCar"/>
    <w:uiPriority w:val="99"/>
    <w:unhideWhenUsed/>
    <w:rsid w:val="0083067D"/>
    <w:pPr>
      <w:tabs>
        <w:tab w:val="center" w:pos="4252"/>
        <w:tab w:val="right" w:pos="8504"/>
      </w:tabs>
    </w:pPr>
  </w:style>
  <w:style w:type="character" w:customStyle="1" w:styleId="EncabezadoCar">
    <w:name w:val="Encabezado Car"/>
    <w:basedOn w:val="Fuentedeprrafopredeter"/>
    <w:link w:val="Encabezado"/>
    <w:uiPriority w:val="99"/>
    <w:locked/>
    <w:rsid w:val="0083067D"/>
    <w:rPr>
      <w:rFonts w:cs="Times New Roman"/>
    </w:rPr>
  </w:style>
  <w:style w:type="paragraph" w:styleId="Piedepgina">
    <w:name w:val="footer"/>
    <w:basedOn w:val="Normal"/>
    <w:link w:val="PiedepginaCar"/>
    <w:uiPriority w:val="99"/>
    <w:unhideWhenUsed/>
    <w:rsid w:val="0083067D"/>
    <w:pPr>
      <w:tabs>
        <w:tab w:val="center" w:pos="4252"/>
        <w:tab w:val="right" w:pos="8504"/>
      </w:tabs>
    </w:pPr>
  </w:style>
  <w:style w:type="character" w:customStyle="1" w:styleId="PiedepginaCar">
    <w:name w:val="Pie de página Car"/>
    <w:basedOn w:val="Fuentedeprrafopredeter"/>
    <w:link w:val="Piedepgina"/>
    <w:uiPriority w:val="99"/>
    <w:locked/>
    <w:rsid w:val="0083067D"/>
    <w:rPr>
      <w:rFonts w:cs="Times New Roman"/>
    </w:rPr>
  </w:style>
  <w:style w:type="paragraph" w:styleId="Textoindependiente">
    <w:name w:val="Body Text"/>
    <w:basedOn w:val="Normal"/>
    <w:link w:val="TextoindependienteCar"/>
    <w:uiPriority w:val="99"/>
    <w:rsid w:val="00BF6792"/>
    <w:pPr>
      <w:autoSpaceDE w:val="0"/>
      <w:autoSpaceDN w:val="0"/>
      <w:adjustRightInd w:val="0"/>
      <w:spacing w:after="120" w:line="240" w:lineRule="auto"/>
      <w:jc w:val="both"/>
    </w:pPr>
    <w:rPr>
      <w:rFonts w:ascii="Arial" w:hAnsi="Arial" w:cs="Arial"/>
      <w:noProof/>
      <w:color w:val="000000"/>
      <w:sz w:val="24"/>
      <w:szCs w:val="24"/>
      <w:lang w:val="en-US"/>
    </w:rPr>
  </w:style>
  <w:style w:type="character" w:customStyle="1" w:styleId="TextoindependienteCar">
    <w:name w:val="Texto independiente Car"/>
    <w:basedOn w:val="Fuentedeprrafopredeter"/>
    <w:link w:val="Textoindependiente"/>
    <w:uiPriority w:val="99"/>
    <w:locked/>
    <w:rsid w:val="00BF6792"/>
    <w:rPr>
      <w:rFonts w:ascii="Arial" w:hAnsi="Arial" w:cs="Arial"/>
      <w:noProof/>
      <w:color w:val="000000"/>
      <w:sz w:val="24"/>
      <w:szCs w:val="24"/>
      <w:lang w:val="en-US"/>
    </w:rPr>
  </w:style>
  <w:style w:type="paragraph" w:styleId="Ttulo">
    <w:name w:val="Title"/>
    <w:basedOn w:val="Normal"/>
    <w:link w:val="TtuloCar"/>
    <w:uiPriority w:val="99"/>
    <w:qFormat/>
    <w:rsid w:val="00BF6792"/>
    <w:pPr>
      <w:suppressAutoHyphens/>
      <w:spacing w:after="0" w:line="240" w:lineRule="auto"/>
      <w:jc w:val="center"/>
    </w:pPr>
    <w:rPr>
      <w:rFonts w:ascii="Times New Roman" w:hAnsi="Times New Roman"/>
      <w:b/>
      <w:spacing w:val="-3"/>
      <w:sz w:val="40"/>
      <w:szCs w:val="20"/>
      <w:lang w:val="es-ES_tradnl"/>
    </w:rPr>
  </w:style>
  <w:style w:type="character" w:customStyle="1" w:styleId="TtuloCar">
    <w:name w:val="Título Car"/>
    <w:basedOn w:val="Fuentedeprrafopredeter"/>
    <w:link w:val="Ttulo"/>
    <w:uiPriority w:val="99"/>
    <w:locked/>
    <w:rsid w:val="00BF6792"/>
    <w:rPr>
      <w:rFonts w:ascii="Times New Roman" w:hAnsi="Times New Roman" w:cs="Times New Roman"/>
      <w:b/>
      <w:spacing w:val="-3"/>
      <w:sz w:val="20"/>
      <w:szCs w:val="20"/>
      <w:lang w:val="es-ES_tradnl"/>
    </w:rPr>
  </w:style>
  <w:style w:type="paragraph" w:styleId="NormalWeb">
    <w:name w:val="Normal (Web)"/>
    <w:basedOn w:val="Normal"/>
    <w:uiPriority w:val="99"/>
    <w:rsid w:val="00BF6792"/>
    <w:pPr>
      <w:spacing w:before="100" w:beforeAutospacing="1" w:after="100" w:afterAutospacing="1" w:line="240" w:lineRule="auto"/>
    </w:pPr>
    <w:rPr>
      <w:rFonts w:ascii="Times New Roman" w:hAnsi="Times New Roman"/>
      <w:sz w:val="24"/>
      <w:szCs w:val="24"/>
    </w:rPr>
  </w:style>
  <w:style w:type="character" w:styleId="Refdecomentario">
    <w:name w:val="annotation reference"/>
    <w:basedOn w:val="Fuentedeprrafopredeter"/>
    <w:uiPriority w:val="99"/>
    <w:semiHidden/>
    <w:unhideWhenUsed/>
    <w:rsid w:val="00756F01"/>
    <w:rPr>
      <w:rFonts w:cs="Times New Roman"/>
      <w:sz w:val="16"/>
      <w:szCs w:val="16"/>
    </w:rPr>
  </w:style>
  <w:style w:type="paragraph" w:styleId="Textocomentario">
    <w:name w:val="annotation text"/>
    <w:basedOn w:val="Normal"/>
    <w:link w:val="TextocomentarioCar"/>
    <w:uiPriority w:val="99"/>
    <w:semiHidden/>
    <w:unhideWhenUsed/>
    <w:rsid w:val="00756F01"/>
    <w:rPr>
      <w:sz w:val="20"/>
      <w:szCs w:val="20"/>
    </w:rPr>
  </w:style>
  <w:style w:type="character" w:customStyle="1" w:styleId="TextocomentarioCar">
    <w:name w:val="Texto comentario Car"/>
    <w:basedOn w:val="Fuentedeprrafopredeter"/>
    <w:link w:val="Textocomentario"/>
    <w:uiPriority w:val="99"/>
    <w:semiHidden/>
    <w:locked/>
    <w:rsid w:val="00756F01"/>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56F01"/>
    <w:rPr>
      <w:b/>
      <w:bCs/>
    </w:rPr>
  </w:style>
  <w:style w:type="character" w:customStyle="1" w:styleId="AsuntodelcomentarioCar">
    <w:name w:val="Asunto del comentario Car"/>
    <w:basedOn w:val="TextocomentarioCar"/>
    <w:link w:val="Asuntodelcomentario"/>
    <w:uiPriority w:val="99"/>
    <w:semiHidden/>
    <w:locked/>
    <w:rsid w:val="00756F01"/>
    <w:rPr>
      <w:rFonts w:cs="Times New Roman"/>
      <w:b/>
      <w:bCs/>
      <w:sz w:val="20"/>
      <w:szCs w:val="20"/>
    </w:rPr>
  </w:style>
  <w:style w:type="paragraph" w:styleId="Textodeglobo">
    <w:name w:val="Balloon Text"/>
    <w:basedOn w:val="Normal"/>
    <w:link w:val="TextodegloboCar"/>
    <w:uiPriority w:val="99"/>
    <w:semiHidden/>
    <w:unhideWhenUsed/>
    <w:rsid w:val="00756F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56F0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91196395">
      <w:marLeft w:val="0"/>
      <w:marRight w:val="0"/>
      <w:marTop w:val="0"/>
      <w:marBottom w:val="0"/>
      <w:divBdr>
        <w:top w:val="none" w:sz="0" w:space="0" w:color="auto"/>
        <w:left w:val="none" w:sz="0" w:space="0" w:color="auto"/>
        <w:bottom w:val="none" w:sz="0" w:space="0" w:color="auto"/>
        <w:right w:val="none" w:sz="0" w:space="0" w:color="auto"/>
      </w:divBdr>
    </w:div>
    <w:div w:id="2091196396">
      <w:marLeft w:val="0"/>
      <w:marRight w:val="0"/>
      <w:marTop w:val="0"/>
      <w:marBottom w:val="0"/>
      <w:divBdr>
        <w:top w:val="none" w:sz="0" w:space="0" w:color="auto"/>
        <w:left w:val="none" w:sz="0" w:space="0" w:color="auto"/>
        <w:bottom w:val="none" w:sz="0" w:space="0" w:color="auto"/>
        <w:right w:val="none" w:sz="0" w:space="0" w:color="auto"/>
      </w:divBdr>
    </w:div>
    <w:div w:id="2091196397">
      <w:marLeft w:val="0"/>
      <w:marRight w:val="0"/>
      <w:marTop w:val="0"/>
      <w:marBottom w:val="0"/>
      <w:divBdr>
        <w:top w:val="none" w:sz="0" w:space="0" w:color="auto"/>
        <w:left w:val="none" w:sz="0" w:space="0" w:color="auto"/>
        <w:bottom w:val="none" w:sz="0" w:space="0" w:color="auto"/>
        <w:right w:val="none" w:sz="0" w:space="0" w:color="auto"/>
      </w:divBdr>
    </w:div>
    <w:div w:id="2091196398">
      <w:marLeft w:val="0"/>
      <w:marRight w:val="0"/>
      <w:marTop w:val="0"/>
      <w:marBottom w:val="0"/>
      <w:divBdr>
        <w:top w:val="none" w:sz="0" w:space="0" w:color="auto"/>
        <w:left w:val="none" w:sz="0" w:space="0" w:color="auto"/>
        <w:bottom w:val="none" w:sz="0" w:space="0" w:color="auto"/>
        <w:right w:val="none" w:sz="0" w:space="0" w:color="auto"/>
      </w:divBdr>
    </w:div>
    <w:div w:id="2091196399">
      <w:marLeft w:val="0"/>
      <w:marRight w:val="0"/>
      <w:marTop w:val="0"/>
      <w:marBottom w:val="0"/>
      <w:divBdr>
        <w:top w:val="none" w:sz="0" w:space="0" w:color="auto"/>
        <w:left w:val="none" w:sz="0" w:space="0" w:color="auto"/>
        <w:bottom w:val="none" w:sz="0" w:space="0" w:color="auto"/>
        <w:right w:val="none" w:sz="0" w:space="0" w:color="auto"/>
      </w:divBdr>
    </w:div>
    <w:div w:id="2091196400">
      <w:marLeft w:val="0"/>
      <w:marRight w:val="0"/>
      <w:marTop w:val="0"/>
      <w:marBottom w:val="0"/>
      <w:divBdr>
        <w:top w:val="none" w:sz="0" w:space="0" w:color="auto"/>
        <w:left w:val="none" w:sz="0" w:space="0" w:color="auto"/>
        <w:bottom w:val="none" w:sz="0" w:space="0" w:color="auto"/>
        <w:right w:val="none" w:sz="0" w:space="0" w:color="auto"/>
      </w:divBdr>
    </w:div>
    <w:div w:id="2091196401">
      <w:marLeft w:val="0"/>
      <w:marRight w:val="0"/>
      <w:marTop w:val="0"/>
      <w:marBottom w:val="0"/>
      <w:divBdr>
        <w:top w:val="none" w:sz="0" w:space="0" w:color="auto"/>
        <w:left w:val="none" w:sz="0" w:space="0" w:color="auto"/>
        <w:bottom w:val="none" w:sz="0" w:space="0" w:color="auto"/>
        <w:right w:val="none" w:sz="0" w:space="0" w:color="auto"/>
      </w:divBdr>
    </w:div>
    <w:div w:id="2091196402">
      <w:marLeft w:val="0"/>
      <w:marRight w:val="0"/>
      <w:marTop w:val="0"/>
      <w:marBottom w:val="0"/>
      <w:divBdr>
        <w:top w:val="none" w:sz="0" w:space="0" w:color="auto"/>
        <w:left w:val="none" w:sz="0" w:space="0" w:color="auto"/>
        <w:bottom w:val="none" w:sz="0" w:space="0" w:color="auto"/>
        <w:right w:val="none" w:sz="0" w:space="0" w:color="auto"/>
      </w:divBdr>
    </w:div>
    <w:div w:id="2091196403">
      <w:marLeft w:val="0"/>
      <w:marRight w:val="0"/>
      <w:marTop w:val="0"/>
      <w:marBottom w:val="0"/>
      <w:divBdr>
        <w:top w:val="none" w:sz="0" w:space="0" w:color="auto"/>
        <w:left w:val="none" w:sz="0" w:space="0" w:color="auto"/>
        <w:bottom w:val="none" w:sz="0" w:space="0" w:color="auto"/>
        <w:right w:val="none" w:sz="0" w:space="0" w:color="auto"/>
      </w:divBdr>
    </w:div>
    <w:div w:id="2091196404">
      <w:marLeft w:val="0"/>
      <w:marRight w:val="0"/>
      <w:marTop w:val="0"/>
      <w:marBottom w:val="0"/>
      <w:divBdr>
        <w:top w:val="none" w:sz="0" w:space="0" w:color="auto"/>
        <w:left w:val="none" w:sz="0" w:space="0" w:color="auto"/>
        <w:bottom w:val="none" w:sz="0" w:space="0" w:color="auto"/>
        <w:right w:val="none" w:sz="0" w:space="0" w:color="auto"/>
      </w:divBdr>
    </w:div>
    <w:div w:id="2091196405">
      <w:marLeft w:val="0"/>
      <w:marRight w:val="0"/>
      <w:marTop w:val="0"/>
      <w:marBottom w:val="0"/>
      <w:divBdr>
        <w:top w:val="none" w:sz="0" w:space="0" w:color="auto"/>
        <w:left w:val="none" w:sz="0" w:space="0" w:color="auto"/>
        <w:bottom w:val="none" w:sz="0" w:space="0" w:color="auto"/>
        <w:right w:val="none" w:sz="0" w:space="0" w:color="auto"/>
      </w:divBdr>
    </w:div>
    <w:div w:id="2091196406">
      <w:marLeft w:val="0"/>
      <w:marRight w:val="0"/>
      <w:marTop w:val="0"/>
      <w:marBottom w:val="0"/>
      <w:divBdr>
        <w:top w:val="none" w:sz="0" w:space="0" w:color="auto"/>
        <w:left w:val="none" w:sz="0" w:space="0" w:color="auto"/>
        <w:bottom w:val="none" w:sz="0" w:space="0" w:color="auto"/>
        <w:right w:val="none" w:sz="0" w:space="0" w:color="auto"/>
      </w:divBdr>
    </w:div>
    <w:div w:id="2091196407">
      <w:marLeft w:val="0"/>
      <w:marRight w:val="0"/>
      <w:marTop w:val="0"/>
      <w:marBottom w:val="0"/>
      <w:divBdr>
        <w:top w:val="none" w:sz="0" w:space="0" w:color="auto"/>
        <w:left w:val="none" w:sz="0" w:space="0" w:color="auto"/>
        <w:bottom w:val="none" w:sz="0" w:space="0" w:color="auto"/>
        <w:right w:val="none" w:sz="0" w:space="0" w:color="auto"/>
      </w:divBdr>
    </w:div>
    <w:div w:id="2091196408">
      <w:marLeft w:val="0"/>
      <w:marRight w:val="0"/>
      <w:marTop w:val="0"/>
      <w:marBottom w:val="0"/>
      <w:divBdr>
        <w:top w:val="none" w:sz="0" w:space="0" w:color="auto"/>
        <w:left w:val="none" w:sz="0" w:space="0" w:color="auto"/>
        <w:bottom w:val="none" w:sz="0" w:space="0" w:color="auto"/>
        <w:right w:val="none" w:sz="0" w:space="0" w:color="auto"/>
      </w:divBdr>
    </w:div>
    <w:div w:id="2091196409">
      <w:marLeft w:val="0"/>
      <w:marRight w:val="0"/>
      <w:marTop w:val="0"/>
      <w:marBottom w:val="0"/>
      <w:divBdr>
        <w:top w:val="none" w:sz="0" w:space="0" w:color="auto"/>
        <w:left w:val="none" w:sz="0" w:space="0" w:color="auto"/>
        <w:bottom w:val="none" w:sz="0" w:space="0" w:color="auto"/>
        <w:right w:val="none" w:sz="0" w:space="0" w:color="auto"/>
      </w:divBdr>
    </w:div>
    <w:div w:id="2091196410">
      <w:marLeft w:val="0"/>
      <w:marRight w:val="0"/>
      <w:marTop w:val="0"/>
      <w:marBottom w:val="0"/>
      <w:divBdr>
        <w:top w:val="none" w:sz="0" w:space="0" w:color="auto"/>
        <w:left w:val="none" w:sz="0" w:space="0" w:color="auto"/>
        <w:bottom w:val="none" w:sz="0" w:space="0" w:color="auto"/>
        <w:right w:val="none" w:sz="0" w:space="0" w:color="auto"/>
      </w:divBdr>
    </w:div>
    <w:div w:id="2091196411">
      <w:marLeft w:val="0"/>
      <w:marRight w:val="0"/>
      <w:marTop w:val="0"/>
      <w:marBottom w:val="0"/>
      <w:divBdr>
        <w:top w:val="none" w:sz="0" w:space="0" w:color="auto"/>
        <w:left w:val="none" w:sz="0" w:space="0" w:color="auto"/>
        <w:bottom w:val="none" w:sz="0" w:space="0" w:color="auto"/>
        <w:right w:val="none" w:sz="0" w:space="0" w:color="auto"/>
      </w:divBdr>
    </w:div>
    <w:div w:id="2091196412">
      <w:marLeft w:val="0"/>
      <w:marRight w:val="0"/>
      <w:marTop w:val="0"/>
      <w:marBottom w:val="0"/>
      <w:divBdr>
        <w:top w:val="none" w:sz="0" w:space="0" w:color="auto"/>
        <w:left w:val="none" w:sz="0" w:space="0" w:color="auto"/>
        <w:bottom w:val="none" w:sz="0" w:space="0" w:color="auto"/>
        <w:right w:val="none" w:sz="0" w:space="0" w:color="auto"/>
      </w:divBdr>
    </w:div>
    <w:div w:id="2091196413">
      <w:marLeft w:val="0"/>
      <w:marRight w:val="0"/>
      <w:marTop w:val="0"/>
      <w:marBottom w:val="0"/>
      <w:divBdr>
        <w:top w:val="none" w:sz="0" w:space="0" w:color="auto"/>
        <w:left w:val="none" w:sz="0" w:space="0" w:color="auto"/>
        <w:bottom w:val="none" w:sz="0" w:space="0" w:color="auto"/>
        <w:right w:val="none" w:sz="0" w:space="0" w:color="auto"/>
      </w:divBdr>
    </w:div>
    <w:div w:id="2091196414">
      <w:marLeft w:val="0"/>
      <w:marRight w:val="0"/>
      <w:marTop w:val="0"/>
      <w:marBottom w:val="0"/>
      <w:divBdr>
        <w:top w:val="none" w:sz="0" w:space="0" w:color="auto"/>
        <w:left w:val="none" w:sz="0" w:space="0" w:color="auto"/>
        <w:bottom w:val="none" w:sz="0" w:space="0" w:color="auto"/>
        <w:right w:val="none" w:sz="0" w:space="0" w:color="auto"/>
      </w:divBdr>
    </w:div>
    <w:div w:id="2091196415">
      <w:marLeft w:val="0"/>
      <w:marRight w:val="0"/>
      <w:marTop w:val="0"/>
      <w:marBottom w:val="0"/>
      <w:divBdr>
        <w:top w:val="none" w:sz="0" w:space="0" w:color="auto"/>
        <w:left w:val="none" w:sz="0" w:space="0" w:color="auto"/>
        <w:bottom w:val="none" w:sz="0" w:space="0" w:color="auto"/>
        <w:right w:val="none" w:sz="0" w:space="0" w:color="auto"/>
      </w:divBdr>
    </w:div>
    <w:div w:id="2091196416">
      <w:marLeft w:val="0"/>
      <w:marRight w:val="0"/>
      <w:marTop w:val="0"/>
      <w:marBottom w:val="0"/>
      <w:divBdr>
        <w:top w:val="none" w:sz="0" w:space="0" w:color="auto"/>
        <w:left w:val="none" w:sz="0" w:space="0" w:color="auto"/>
        <w:bottom w:val="none" w:sz="0" w:space="0" w:color="auto"/>
        <w:right w:val="none" w:sz="0" w:space="0" w:color="auto"/>
      </w:divBdr>
    </w:div>
    <w:div w:id="2091196417">
      <w:marLeft w:val="0"/>
      <w:marRight w:val="0"/>
      <w:marTop w:val="0"/>
      <w:marBottom w:val="0"/>
      <w:divBdr>
        <w:top w:val="none" w:sz="0" w:space="0" w:color="auto"/>
        <w:left w:val="none" w:sz="0" w:space="0" w:color="auto"/>
        <w:bottom w:val="none" w:sz="0" w:space="0" w:color="auto"/>
        <w:right w:val="none" w:sz="0" w:space="0" w:color="auto"/>
      </w:divBdr>
    </w:div>
    <w:div w:id="2091196418">
      <w:marLeft w:val="0"/>
      <w:marRight w:val="0"/>
      <w:marTop w:val="0"/>
      <w:marBottom w:val="0"/>
      <w:divBdr>
        <w:top w:val="none" w:sz="0" w:space="0" w:color="auto"/>
        <w:left w:val="none" w:sz="0" w:space="0" w:color="auto"/>
        <w:bottom w:val="none" w:sz="0" w:space="0" w:color="auto"/>
        <w:right w:val="none" w:sz="0" w:space="0" w:color="auto"/>
      </w:divBdr>
    </w:div>
    <w:div w:id="2091196419">
      <w:marLeft w:val="0"/>
      <w:marRight w:val="0"/>
      <w:marTop w:val="0"/>
      <w:marBottom w:val="0"/>
      <w:divBdr>
        <w:top w:val="none" w:sz="0" w:space="0" w:color="auto"/>
        <w:left w:val="none" w:sz="0" w:space="0" w:color="auto"/>
        <w:bottom w:val="none" w:sz="0" w:space="0" w:color="auto"/>
        <w:right w:val="none" w:sz="0" w:space="0" w:color="auto"/>
      </w:divBdr>
    </w:div>
    <w:div w:id="2091196420">
      <w:marLeft w:val="0"/>
      <w:marRight w:val="0"/>
      <w:marTop w:val="0"/>
      <w:marBottom w:val="0"/>
      <w:divBdr>
        <w:top w:val="none" w:sz="0" w:space="0" w:color="auto"/>
        <w:left w:val="none" w:sz="0" w:space="0" w:color="auto"/>
        <w:bottom w:val="none" w:sz="0" w:space="0" w:color="auto"/>
        <w:right w:val="none" w:sz="0" w:space="0" w:color="auto"/>
      </w:divBdr>
    </w:div>
    <w:div w:id="2091196421">
      <w:marLeft w:val="0"/>
      <w:marRight w:val="0"/>
      <w:marTop w:val="0"/>
      <w:marBottom w:val="0"/>
      <w:divBdr>
        <w:top w:val="none" w:sz="0" w:space="0" w:color="auto"/>
        <w:left w:val="none" w:sz="0" w:space="0" w:color="auto"/>
        <w:bottom w:val="none" w:sz="0" w:space="0" w:color="auto"/>
        <w:right w:val="none" w:sz="0" w:space="0" w:color="auto"/>
      </w:divBdr>
    </w:div>
    <w:div w:id="2091196422">
      <w:marLeft w:val="0"/>
      <w:marRight w:val="0"/>
      <w:marTop w:val="0"/>
      <w:marBottom w:val="0"/>
      <w:divBdr>
        <w:top w:val="none" w:sz="0" w:space="0" w:color="auto"/>
        <w:left w:val="none" w:sz="0" w:space="0" w:color="auto"/>
        <w:bottom w:val="none" w:sz="0" w:space="0" w:color="auto"/>
        <w:right w:val="none" w:sz="0" w:space="0" w:color="auto"/>
      </w:divBdr>
    </w:div>
    <w:div w:id="2091196423">
      <w:marLeft w:val="0"/>
      <w:marRight w:val="0"/>
      <w:marTop w:val="0"/>
      <w:marBottom w:val="0"/>
      <w:divBdr>
        <w:top w:val="none" w:sz="0" w:space="0" w:color="auto"/>
        <w:left w:val="none" w:sz="0" w:space="0" w:color="auto"/>
        <w:bottom w:val="none" w:sz="0" w:space="0" w:color="auto"/>
        <w:right w:val="none" w:sz="0" w:space="0" w:color="auto"/>
      </w:divBdr>
    </w:div>
    <w:div w:id="2091196424">
      <w:marLeft w:val="0"/>
      <w:marRight w:val="0"/>
      <w:marTop w:val="0"/>
      <w:marBottom w:val="0"/>
      <w:divBdr>
        <w:top w:val="none" w:sz="0" w:space="0" w:color="auto"/>
        <w:left w:val="none" w:sz="0" w:space="0" w:color="auto"/>
        <w:bottom w:val="none" w:sz="0" w:space="0" w:color="auto"/>
        <w:right w:val="none" w:sz="0" w:space="0" w:color="auto"/>
      </w:divBdr>
    </w:div>
    <w:div w:id="2091196425">
      <w:marLeft w:val="0"/>
      <w:marRight w:val="0"/>
      <w:marTop w:val="0"/>
      <w:marBottom w:val="0"/>
      <w:divBdr>
        <w:top w:val="none" w:sz="0" w:space="0" w:color="auto"/>
        <w:left w:val="none" w:sz="0" w:space="0" w:color="auto"/>
        <w:bottom w:val="none" w:sz="0" w:space="0" w:color="auto"/>
        <w:right w:val="none" w:sz="0" w:space="0" w:color="auto"/>
      </w:divBdr>
    </w:div>
    <w:div w:id="2091196426">
      <w:marLeft w:val="0"/>
      <w:marRight w:val="0"/>
      <w:marTop w:val="0"/>
      <w:marBottom w:val="0"/>
      <w:divBdr>
        <w:top w:val="none" w:sz="0" w:space="0" w:color="auto"/>
        <w:left w:val="none" w:sz="0" w:space="0" w:color="auto"/>
        <w:bottom w:val="none" w:sz="0" w:space="0" w:color="auto"/>
        <w:right w:val="none" w:sz="0" w:space="0" w:color="auto"/>
      </w:divBdr>
    </w:div>
    <w:div w:id="2091196427">
      <w:marLeft w:val="0"/>
      <w:marRight w:val="0"/>
      <w:marTop w:val="0"/>
      <w:marBottom w:val="0"/>
      <w:divBdr>
        <w:top w:val="none" w:sz="0" w:space="0" w:color="auto"/>
        <w:left w:val="none" w:sz="0" w:space="0" w:color="auto"/>
        <w:bottom w:val="none" w:sz="0" w:space="0" w:color="auto"/>
        <w:right w:val="none" w:sz="0" w:space="0" w:color="auto"/>
      </w:divBdr>
    </w:div>
    <w:div w:id="2091196428">
      <w:marLeft w:val="0"/>
      <w:marRight w:val="0"/>
      <w:marTop w:val="0"/>
      <w:marBottom w:val="0"/>
      <w:divBdr>
        <w:top w:val="none" w:sz="0" w:space="0" w:color="auto"/>
        <w:left w:val="none" w:sz="0" w:space="0" w:color="auto"/>
        <w:bottom w:val="none" w:sz="0" w:space="0" w:color="auto"/>
        <w:right w:val="none" w:sz="0" w:space="0" w:color="auto"/>
      </w:divBdr>
    </w:div>
    <w:div w:id="2091196429">
      <w:marLeft w:val="0"/>
      <w:marRight w:val="0"/>
      <w:marTop w:val="0"/>
      <w:marBottom w:val="0"/>
      <w:divBdr>
        <w:top w:val="none" w:sz="0" w:space="0" w:color="auto"/>
        <w:left w:val="none" w:sz="0" w:space="0" w:color="auto"/>
        <w:bottom w:val="none" w:sz="0" w:space="0" w:color="auto"/>
        <w:right w:val="none" w:sz="0" w:space="0" w:color="auto"/>
      </w:divBdr>
    </w:div>
    <w:div w:id="2091196430">
      <w:marLeft w:val="0"/>
      <w:marRight w:val="0"/>
      <w:marTop w:val="0"/>
      <w:marBottom w:val="0"/>
      <w:divBdr>
        <w:top w:val="none" w:sz="0" w:space="0" w:color="auto"/>
        <w:left w:val="none" w:sz="0" w:space="0" w:color="auto"/>
        <w:bottom w:val="none" w:sz="0" w:space="0" w:color="auto"/>
        <w:right w:val="none" w:sz="0" w:space="0" w:color="auto"/>
      </w:divBdr>
    </w:div>
    <w:div w:id="2091196431">
      <w:marLeft w:val="0"/>
      <w:marRight w:val="0"/>
      <w:marTop w:val="0"/>
      <w:marBottom w:val="0"/>
      <w:divBdr>
        <w:top w:val="none" w:sz="0" w:space="0" w:color="auto"/>
        <w:left w:val="none" w:sz="0" w:space="0" w:color="auto"/>
        <w:bottom w:val="none" w:sz="0" w:space="0" w:color="auto"/>
        <w:right w:val="none" w:sz="0" w:space="0" w:color="auto"/>
      </w:divBdr>
    </w:div>
    <w:div w:id="2091196432">
      <w:marLeft w:val="0"/>
      <w:marRight w:val="0"/>
      <w:marTop w:val="0"/>
      <w:marBottom w:val="0"/>
      <w:divBdr>
        <w:top w:val="none" w:sz="0" w:space="0" w:color="auto"/>
        <w:left w:val="none" w:sz="0" w:space="0" w:color="auto"/>
        <w:bottom w:val="none" w:sz="0" w:space="0" w:color="auto"/>
        <w:right w:val="none" w:sz="0" w:space="0" w:color="auto"/>
      </w:divBdr>
    </w:div>
    <w:div w:id="2091196433">
      <w:marLeft w:val="0"/>
      <w:marRight w:val="0"/>
      <w:marTop w:val="0"/>
      <w:marBottom w:val="0"/>
      <w:divBdr>
        <w:top w:val="none" w:sz="0" w:space="0" w:color="auto"/>
        <w:left w:val="none" w:sz="0" w:space="0" w:color="auto"/>
        <w:bottom w:val="none" w:sz="0" w:space="0" w:color="auto"/>
        <w:right w:val="none" w:sz="0" w:space="0" w:color="auto"/>
      </w:divBdr>
    </w:div>
    <w:div w:id="2091196434">
      <w:marLeft w:val="0"/>
      <w:marRight w:val="0"/>
      <w:marTop w:val="0"/>
      <w:marBottom w:val="0"/>
      <w:divBdr>
        <w:top w:val="none" w:sz="0" w:space="0" w:color="auto"/>
        <w:left w:val="none" w:sz="0" w:space="0" w:color="auto"/>
        <w:bottom w:val="none" w:sz="0" w:space="0" w:color="auto"/>
        <w:right w:val="none" w:sz="0" w:space="0" w:color="auto"/>
      </w:divBdr>
    </w:div>
    <w:div w:id="2091196435">
      <w:marLeft w:val="0"/>
      <w:marRight w:val="0"/>
      <w:marTop w:val="0"/>
      <w:marBottom w:val="0"/>
      <w:divBdr>
        <w:top w:val="none" w:sz="0" w:space="0" w:color="auto"/>
        <w:left w:val="none" w:sz="0" w:space="0" w:color="auto"/>
        <w:bottom w:val="none" w:sz="0" w:space="0" w:color="auto"/>
        <w:right w:val="none" w:sz="0" w:space="0" w:color="auto"/>
      </w:divBdr>
    </w:div>
    <w:div w:id="2091196436">
      <w:marLeft w:val="0"/>
      <w:marRight w:val="0"/>
      <w:marTop w:val="0"/>
      <w:marBottom w:val="0"/>
      <w:divBdr>
        <w:top w:val="none" w:sz="0" w:space="0" w:color="auto"/>
        <w:left w:val="none" w:sz="0" w:space="0" w:color="auto"/>
        <w:bottom w:val="none" w:sz="0" w:space="0" w:color="auto"/>
        <w:right w:val="none" w:sz="0" w:space="0" w:color="auto"/>
      </w:divBdr>
    </w:div>
    <w:div w:id="2091196437">
      <w:marLeft w:val="0"/>
      <w:marRight w:val="0"/>
      <w:marTop w:val="0"/>
      <w:marBottom w:val="0"/>
      <w:divBdr>
        <w:top w:val="none" w:sz="0" w:space="0" w:color="auto"/>
        <w:left w:val="none" w:sz="0" w:space="0" w:color="auto"/>
        <w:bottom w:val="none" w:sz="0" w:space="0" w:color="auto"/>
        <w:right w:val="none" w:sz="0" w:space="0" w:color="auto"/>
      </w:divBdr>
    </w:div>
    <w:div w:id="2091196438">
      <w:marLeft w:val="0"/>
      <w:marRight w:val="0"/>
      <w:marTop w:val="0"/>
      <w:marBottom w:val="0"/>
      <w:divBdr>
        <w:top w:val="none" w:sz="0" w:space="0" w:color="auto"/>
        <w:left w:val="none" w:sz="0" w:space="0" w:color="auto"/>
        <w:bottom w:val="none" w:sz="0" w:space="0" w:color="auto"/>
        <w:right w:val="none" w:sz="0" w:space="0" w:color="auto"/>
      </w:divBdr>
    </w:div>
    <w:div w:id="2091196439">
      <w:marLeft w:val="0"/>
      <w:marRight w:val="0"/>
      <w:marTop w:val="0"/>
      <w:marBottom w:val="0"/>
      <w:divBdr>
        <w:top w:val="none" w:sz="0" w:space="0" w:color="auto"/>
        <w:left w:val="none" w:sz="0" w:space="0" w:color="auto"/>
        <w:bottom w:val="none" w:sz="0" w:space="0" w:color="auto"/>
        <w:right w:val="none" w:sz="0" w:space="0" w:color="auto"/>
      </w:divBdr>
    </w:div>
    <w:div w:id="2091196440">
      <w:marLeft w:val="0"/>
      <w:marRight w:val="0"/>
      <w:marTop w:val="0"/>
      <w:marBottom w:val="0"/>
      <w:divBdr>
        <w:top w:val="none" w:sz="0" w:space="0" w:color="auto"/>
        <w:left w:val="none" w:sz="0" w:space="0" w:color="auto"/>
        <w:bottom w:val="none" w:sz="0" w:space="0" w:color="auto"/>
        <w:right w:val="none" w:sz="0" w:space="0" w:color="auto"/>
      </w:divBdr>
    </w:div>
    <w:div w:id="2091196441">
      <w:marLeft w:val="0"/>
      <w:marRight w:val="0"/>
      <w:marTop w:val="0"/>
      <w:marBottom w:val="0"/>
      <w:divBdr>
        <w:top w:val="none" w:sz="0" w:space="0" w:color="auto"/>
        <w:left w:val="none" w:sz="0" w:space="0" w:color="auto"/>
        <w:bottom w:val="none" w:sz="0" w:space="0" w:color="auto"/>
        <w:right w:val="none" w:sz="0" w:space="0" w:color="auto"/>
      </w:divBdr>
    </w:div>
    <w:div w:id="2091196442">
      <w:marLeft w:val="0"/>
      <w:marRight w:val="0"/>
      <w:marTop w:val="0"/>
      <w:marBottom w:val="0"/>
      <w:divBdr>
        <w:top w:val="none" w:sz="0" w:space="0" w:color="auto"/>
        <w:left w:val="none" w:sz="0" w:space="0" w:color="auto"/>
        <w:bottom w:val="none" w:sz="0" w:space="0" w:color="auto"/>
        <w:right w:val="none" w:sz="0" w:space="0" w:color="auto"/>
      </w:divBdr>
    </w:div>
    <w:div w:id="2091196443">
      <w:marLeft w:val="0"/>
      <w:marRight w:val="0"/>
      <w:marTop w:val="0"/>
      <w:marBottom w:val="0"/>
      <w:divBdr>
        <w:top w:val="none" w:sz="0" w:space="0" w:color="auto"/>
        <w:left w:val="none" w:sz="0" w:space="0" w:color="auto"/>
        <w:bottom w:val="none" w:sz="0" w:space="0" w:color="auto"/>
        <w:right w:val="none" w:sz="0" w:space="0" w:color="auto"/>
      </w:divBdr>
    </w:div>
    <w:div w:id="2091196444">
      <w:marLeft w:val="0"/>
      <w:marRight w:val="0"/>
      <w:marTop w:val="0"/>
      <w:marBottom w:val="0"/>
      <w:divBdr>
        <w:top w:val="none" w:sz="0" w:space="0" w:color="auto"/>
        <w:left w:val="none" w:sz="0" w:space="0" w:color="auto"/>
        <w:bottom w:val="none" w:sz="0" w:space="0" w:color="auto"/>
        <w:right w:val="none" w:sz="0" w:space="0" w:color="auto"/>
      </w:divBdr>
    </w:div>
    <w:div w:id="2091196445">
      <w:marLeft w:val="0"/>
      <w:marRight w:val="0"/>
      <w:marTop w:val="0"/>
      <w:marBottom w:val="0"/>
      <w:divBdr>
        <w:top w:val="none" w:sz="0" w:space="0" w:color="auto"/>
        <w:left w:val="none" w:sz="0" w:space="0" w:color="auto"/>
        <w:bottom w:val="none" w:sz="0" w:space="0" w:color="auto"/>
        <w:right w:val="none" w:sz="0" w:space="0" w:color="auto"/>
      </w:divBdr>
    </w:div>
    <w:div w:id="2091196446">
      <w:marLeft w:val="0"/>
      <w:marRight w:val="0"/>
      <w:marTop w:val="0"/>
      <w:marBottom w:val="0"/>
      <w:divBdr>
        <w:top w:val="none" w:sz="0" w:space="0" w:color="auto"/>
        <w:left w:val="none" w:sz="0" w:space="0" w:color="auto"/>
        <w:bottom w:val="none" w:sz="0" w:space="0" w:color="auto"/>
        <w:right w:val="none" w:sz="0" w:space="0" w:color="auto"/>
      </w:divBdr>
    </w:div>
    <w:div w:id="2091196447">
      <w:marLeft w:val="0"/>
      <w:marRight w:val="0"/>
      <w:marTop w:val="0"/>
      <w:marBottom w:val="0"/>
      <w:divBdr>
        <w:top w:val="none" w:sz="0" w:space="0" w:color="auto"/>
        <w:left w:val="none" w:sz="0" w:space="0" w:color="auto"/>
        <w:bottom w:val="none" w:sz="0" w:space="0" w:color="auto"/>
        <w:right w:val="none" w:sz="0" w:space="0" w:color="auto"/>
      </w:divBdr>
    </w:div>
    <w:div w:id="2091196448">
      <w:marLeft w:val="0"/>
      <w:marRight w:val="0"/>
      <w:marTop w:val="0"/>
      <w:marBottom w:val="0"/>
      <w:divBdr>
        <w:top w:val="none" w:sz="0" w:space="0" w:color="auto"/>
        <w:left w:val="none" w:sz="0" w:space="0" w:color="auto"/>
        <w:bottom w:val="none" w:sz="0" w:space="0" w:color="auto"/>
        <w:right w:val="none" w:sz="0" w:space="0" w:color="auto"/>
      </w:divBdr>
    </w:div>
    <w:div w:id="2091196449">
      <w:marLeft w:val="0"/>
      <w:marRight w:val="0"/>
      <w:marTop w:val="0"/>
      <w:marBottom w:val="0"/>
      <w:divBdr>
        <w:top w:val="none" w:sz="0" w:space="0" w:color="auto"/>
        <w:left w:val="none" w:sz="0" w:space="0" w:color="auto"/>
        <w:bottom w:val="none" w:sz="0" w:space="0" w:color="auto"/>
        <w:right w:val="none" w:sz="0" w:space="0" w:color="auto"/>
      </w:divBdr>
    </w:div>
    <w:div w:id="2091196450">
      <w:marLeft w:val="0"/>
      <w:marRight w:val="0"/>
      <w:marTop w:val="0"/>
      <w:marBottom w:val="0"/>
      <w:divBdr>
        <w:top w:val="none" w:sz="0" w:space="0" w:color="auto"/>
        <w:left w:val="none" w:sz="0" w:space="0" w:color="auto"/>
        <w:bottom w:val="none" w:sz="0" w:space="0" w:color="auto"/>
        <w:right w:val="none" w:sz="0" w:space="0" w:color="auto"/>
      </w:divBdr>
    </w:div>
    <w:div w:id="2091196451">
      <w:marLeft w:val="0"/>
      <w:marRight w:val="0"/>
      <w:marTop w:val="0"/>
      <w:marBottom w:val="0"/>
      <w:divBdr>
        <w:top w:val="none" w:sz="0" w:space="0" w:color="auto"/>
        <w:left w:val="none" w:sz="0" w:space="0" w:color="auto"/>
        <w:bottom w:val="none" w:sz="0" w:space="0" w:color="auto"/>
        <w:right w:val="none" w:sz="0" w:space="0" w:color="auto"/>
      </w:divBdr>
    </w:div>
    <w:div w:id="2091196452">
      <w:marLeft w:val="0"/>
      <w:marRight w:val="0"/>
      <w:marTop w:val="0"/>
      <w:marBottom w:val="0"/>
      <w:divBdr>
        <w:top w:val="none" w:sz="0" w:space="0" w:color="auto"/>
        <w:left w:val="none" w:sz="0" w:space="0" w:color="auto"/>
        <w:bottom w:val="none" w:sz="0" w:space="0" w:color="auto"/>
        <w:right w:val="none" w:sz="0" w:space="0" w:color="auto"/>
      </w:divBdr>
    </w:div>
    <w:div w:id="2091196453">
      <w:marLeft w:val="0"/>
      <w:marRight w:val="0"/>
      <w:marTop w:val="0"/>
      <w:marBottom w:val="0"/>
      <w:divBdr>
        <w:top w:val="none" w:sz="0" w:space="0" w:color="auto"/>
        <w:left w:val="none" w:sz="0" w:space="0" w:color="auto"/>
        <w:bottom w:val="none" w:sz="0" w:space="0" w:color="auto"/>
        <w:right w:val="none" w:sz="0" w:space="0" w:color="auto"/>
      </w:divBdr>
    </w:div>
    <w:div w:id="2091196454">
      <w:marLeft w:val="0"/>
      <w:marRight w:val="0"/>
      <w:marTop w:val="0"/>
      <w:marBottom w:val="0"/>
      <w:divBdr>
        <w:top w:val="none" w:sz="0" w:space="0" w:color="auto"/>
        <w:left w:val="none" w:sz="0" w:space="0" w:color="auto"/>
        <w:bottom w:val="none" w:sz="0" w:space="0" w:color="auto"/>
        <w:right w:val="none" w:sz="0" w:space="0" w:color="auto"/>
      </w:divBdr>
    </w:div>
    <w:div w:id="2091196455">
      <w:marLeft w:val="0"/>
      <w:marRight w:val="0"/>
      <w:marTop w:val="0"/>
      <w:marBottom w:val="0"/>
      <w:divBdr>
        <w:top w:val="none" w:sz="0" w:space="0" w:color="auto"/>
        <w:left w:val="none" w:sz="0" w:space="0" w:color="auto"/>
        <w:bottom w:val="none" w:sz="0" w:space="0" w:color="auto"/>
        <w:right w:val="none" w:sz="0" w:space="0" w:color="auto"/>
      </w:divBdr>
    </w:div>
    <w:div w:id="2091196456">
      <w:marLeft w:val="0"/>
      <w:marRight w:val="0"/>
      <w:marTop w:val="0"/>
      <w:marBottom w:val="0"/>
      <w:divBdr>
        <w:top w:val="none" w:sz="0" w:space="0" w:color="auto"/>
        <w:left w:val="none" w:sz="0" w:space="0" w:color="auto"/>
        <w:bottom w:val="none" w:sz="0" w:space="0" w:color="auto"/>
        <w:right w:val="none" w:sz="0" w:space="0" w:color="auto"/>
      </w:divBdr>
    </w:div>
    <w:div w:id="2091196457">
      <w:marLeft w:val="0"/>
      <w:marRight w:val="0"/>
      <w:marTop w:val="0"/>
      <w:marBottom w:val="0"/>
      <w:divBdr>
        <w:top w:val="none" w:sz="0" w:space="0" w:color="auto"/>
        <w:left w:val="none" w:sz="0" w:space="0" w:color="auto"/>
        <w:bottom w:val="none" w:sz="0" w:space="0" w:color="auto"/>
        <w:right w:val="none" w:sz="0" w:space="0" w:color="auto"/>
      </w:divBdr>
    </w:div>
    <w:div w:id="2091196458">
      <w:marLeft w:val="0"/>
      <w:marRight w:val="0"/>
      <w:marTop w:val="0"/>
      <w:marBottom w:val="0"/>
      <w:divBdr>
        <w:top w:val="none" w:sz="0" w:space="0" w:color="auto"/>
        <w:left w:val="none" w:sz="0" w:space="0" w:color="auto"/>
        <w:bottom w:val="none" w:sz="0" w:space="0" w:color="auto"/>
        <w:right w:val="none" w:sz="0" w:space="0" w:color="auto"/>
      </w:divBdr>
    </w:div>
    <w:div w:id="2091196459">
      <w:marLeft w:val="0"/>
      <w:marRight w:val="0"/>
      <w:marTop w:val="0"/>
      <w:marBottom w:val="0"/>
      <w:divBdr>
        <w:top w:val="none" w:sz="0" w:space="0" w:color="auto"/>
        <w:left w:val="none" w:sz="0" w:space="0" w:color="auto"/>
        <w:bottom w:val="none" w:sz="0" w:space="0" w:color="auto"/>
        <w:right w:val="none" w:sz="0" w:space="0" w:color="auto"/>
      </w:divBdr>
    </w:div>
    <w:div w:id="2091196460">
      <w:marLeft w:val="0"/>
      <w:marRight w:val="0"/>
      <w:marTop w:val="0"/>
      <w:marBottom w:val="0"/>
      <w:divBdr>
        <w:top w:val="none" w:sz="0" w:space="0" w:color="auto"/>
        <w:left w:val="none" w:sz="0" w:space="0" w:color="auto"/>
        <w:bottom w:val="none" w:sz="0" w:space="0" w:color="auto"/>
        <w:right w:val="none" w:sz="0" w:space="0" w:color="auto"/>
      </w:divBdr>
    </w:div>
    <w:div w:id="2091196461">
      <w:marLeft w:val="0"/>
      <w:marRight w:val="0"/>
      <w:marTop w:val="0"/>
      <w:marBottom w:val="0"/>
      <w:divBdr>
        <w:top w:val="none" w:sz="0" w:space="0" w:color="auto"/>
        <w:left w:val="none" w:sz="0" w:space="0" w:color="auto"/>
        <w:bottom w:val="none" w:sz="0" w:space="0" w:color="auto"/>
        <w:right w:val="none" w:sz="0" w:space="0" w:color="auto"/>
      </w:divBdr>
    </w:div>
    <w:div w:id="2091196462">
      <w:marLeft w:val="0"/>
      <w:marRight w:val="0"/>
      <w:marTop w:val="0"/>
      <w:marBottom w:val="0"/>
      <w:divBdr>
        <w:top w:val="none" w:sz="0" w:space="0" w:color="auto"/>
        <w:left w:val="none" w:sz="0" w:space="0" w:color="auto"/>
        <w:bottom w:val="none" w:sz="0" w:space="0" w:color="auto"/>
        <w:right w:val="none" w:sz="0" w:space="0" w:color="auto"/>
      </w:divBdr>
    </w:div>
    <w:div w:id="2091196463">
      <w:marLeft w:val="0"/>
      <w:marRight w:val="0"/>
      <w:marTop w:val="0"/>
      <w:marBottom w:val="0"/>
      <w:divBdr>
        <w:top w:val="none" w:sz="0" w:space="0" w:color="auto"/>
        <w:left w:val="none" w:sz="0" w:space="0" w:color="auto"/>
        <w:bottom w:val="none" w:sz="0" w:space="0" w:color="auto"/>
        <w:right w:val="none" w:sz="0" w:space="0" w:color="auto"/>
      </w:divBdr>
    </w:div>
    <w:div w:id="2091196464">
      <w:marLeft w:val="0"/>
      <w:marRight w:val="0"/>
      <w:marTop w:val="0"/>
      <w:marBottom w:val="0"/>
      <w:divBdr>
        <w:top w:val="none" w:sz="0" w:space="0" w:color="auto"/>
        <w:left w:val="none" w:sz="0" w:space="0" w:color="auto"/>
        <w:bottom w:val="none" w:sz="0" w:space="0" w:color="auto"/>
        <w:right w:val="none" w:sz="0" w:space="0" w:color="auto"/>
      </w:divBdr>
    </w:div>
    <w:div w:id="2091196465">
      <w:marLeft w:val="0"/>
      <w:marRight w:val="0"/>
      <w:marTop w:val="0"/>
      <w:marBottom w:val="0"/>
      <w:divBdr>
        <w:top w:val="none" w:sz="0" w:space="0" w:color="auto"/>
        <w:left w:val="none" w:sz="0" w:space="0" w:color="auto"/>
        <w:bottom w:val="none" w:sz="0" w:space="0" w:color="auto"/>
        <w:right w:val="none" w:sz="0" w:space="0" w:color="auto"/>
      </w:divBdr>
    </w:div>
    <w:div w:id="2091196466">
      <w:marLeft w:val="0"/>
      <w:marRight w:val="0"/>
      <w:marTop w:val="0"/>
      <w:marBottom w:val="0"/>
      <w:divBdr>
        <w:top w:val="none" w:sz="0" w:space="0" w:color="auto"/>
        <w:left w:val="none" w:sz="0" w:space="0" w:color="auto"/>
        <w:bottom w:val="none" w:sz="0" w:space="0" w:color="auto"/>
        <w:right w:val="none" w:sz="0" w:space="0" w:color="auto"/>
      </w:divBdr>
    </w:div>
    <w:div w:id="2091196467">
      <w:marLeft w:val="0"/>
      <w:marRight w:val="0"/>
      <w:marTop w:val="0"/>
      <w:marBottom w:val="0"/>
      <w:divBdr>
        <w:top w:val="none" w:sz="0" w:space="0" w:color="auto"/>
        <w:left w:val="none" w:sz="0" w:space="0" w:color="auto"/>
        <w:bottom w:val="none" w:sz="0" w:space="0" w:color="auto"/>
        <w:right w:val="none" w:sz="0" w:space="0" w:color="auto"/>
      </w:divBdr>
    </w:div>
    <w:div w:id="2091196468">
      <w:marLeft w:val="0"/>
      <w:marRight w:val="0"/>
      <w:marTop w:val="0"/>
      <w:marBottom w:val="0"/>
      <w:divBdr>
        <w:top w:val="none" w:sz="0" w:space="0" w:color="auto"/>
        <w:left w:val="none" w:sz="0" w:space="0" w:color="auto"/>
        <w:bottom w:val="none" w:sz="0" w:space="0" w:color="auto"/>
        <w:right w:val="none" w:sz="0" w:space="0" w:color="auto"/>
      </w:divBdr>
    </w:div>
    <w:div w:id="2091196469">
      <w:marLeft w:val="0"/>
      <w:marRight w:val="0"/>
      <w:marTop w:val="0"/>
      <w:marBottom w:val="0"/>
      <w:divBdr>
        <w:top w:val="none" w:sz="0" w:space="0" w:color="auto"/>
        <w:left w:val="none" w:sz="0" w:space="0" w:color="auto"/>
        <w:bottom w:val="none" w:sz="0" w:space="0" w:color="auto"/>
        <w:right w:val="none" w:sz="0" w:space="0" w:color="auto"/>
      </w:divBdr>
    </w:div>
    <w:div w:id="2091196470">
      <w:marLeft w:val="0"/>
      <w:marRight w:val="0"/>
      <w:marTop w:val="0"/>
      <w:marBottom w:val="0"/>
      <w:divBdr>
        <w:top w:val="none" w:sz="0" w:space="0" w:color="auto"/>
        <w:left w:val="none" w:sz="0" w:space="0" w:color="auto"/>
        <w:bottom w:val="none" w:sz="0" w:space="0" w:color="auto"/>
        <w:right w:val="none" w:sz="0" w:space="0" w:color="auto"/>
      </w:divBdr>
    </w:div>
    <w:div w:id="2091196471">
      <w:marLeft w:val="0"/>
      <w:marRight w:val="0"/>
      <w:marTop w:val="0"/>
      <w:marBottom w:val="0"/>
      <w:divBdr>
        <w:top w:val="none" w:sz="0" w:space="0" w:color="auto"/>
        <w:left w:val="none" w:sz="0" w:space="0" w:color="auto"/>
        <w:bottom w:val="none" w:sz="0" w:space="0" w:color="auto"/>
        <w:right w:val="none" w:sz="0" w:space="0" w:color="auto"/>
      </w:divBdr>
    </w:div>
    <w:div w:id="2091196472">
      <w:marLeft w:val="0"/>
      <w:marRight w:val="0"/>
      <w:marTop w:val="0"/>
      <w:marBottom w:val="0"/>
      <w:divBdr>
        <w:top w:val="none" w:sz="0" w:space="0" w:color="auto"/>
        <w:left w:val="none" w:sz="0" w:space="0" w:color="auto"/>
        <w:bottom w:val="none" w:sz="0" w:space="0" w:color="auto"/>
        <w:right w:val="none" w:sz="0" w:space="0" w:color="auto"/>
      </w:divBdr>
    </w:div>
    <w:div w:id="2091196473">
      <w:marLeft w:val="0"/>
      <w:marRight w:val="0"/>
      <w:marTop w:val="0"/>
      <w:marBottom w:val="0"/>
      <w:divBdr>
        <w:top w:val="none" w:sz="0" w:space="0" w:color="auto"/>
        <w:left w:val="none" w:sz="0" w:space="0" w:color="auto"/>
        <w:bottom w:val="none" w:sz="0" w:space="0" w:color="auto"/>
        <w:right w:val="none" w:sz="0" w:space="0" w:color="auto"/>
      </w:divBdr>
    </w:div>
    <w:div w:id="2091196474">
      <w:marLeft w:val="0"/>
      <w:marRight w:val="0"/>
      <w:marTop w:val="0"/>
      <w:marBottom w:val="0"/>
      <w:divBdr>
        <w:top w:val="none" w:sz="0" w:space="0" w:color="auto"/>
        <w:left w:val="none" w:sz="0" w:space="0" w:color="auto"/>
        <w:bottom w:val="none" w:sz="0" w:space="0" w:color="auto"/>
        <w:right w:val="none" w:sz="0" w:space="0" w:color="auto"/>
      </w:divBdr>
    </w:div>
    <w:div w:id="2091196475">
      <w:marLeft w:val="0"/>
      <w:marRight w:val="0"/>
      <w:marTop w:val="0"/>
      <w:marBottom w:val="0"/>
      <w:divBdr>
        <w:top w:val="none" w:sz="0" w:space="0" w:color="auto"/>
        <w:left w:val="none" w:sz="0" w:space="0" w:color="auto"/>
        <w:bottom w:val="none" w:sz="0" w:space="0" w:color="auto"/>
        <w:right w:val="none" w:sz="0" w:space="0" w:color="auto"/>
      </w:divBdr>
    </w:div>
    <w:div w:id="2091196476">
      <w:marLeft w:val="0"/>
      <w:marRight w:val="0"/>
      <w:marTop w:val="0"/>
      <w:marBottom w:val="0"/>
      <w:divBdr>
        <w:top w:val="none" w:sz="0" w:space="0" w:color="auto"/>
        <w:left w:val="none" w:sz="0" w:space="0" w:color="auto"/>
        <w:bottom w:val="none" w:sz="0" w:space="0" w:color="auto"/>
        <w:right w:val="none" w:sz="0" w:space="0" w:color="auto"/>
      </w:divBdr>
    </w:div>
    <w:div w:id="2091196477">
      <w:marLeft w:val="0"/>
      <w:marRight w:val="0"/>
      <w:marTop w:val="0"/>
      <w:marBottom w:val="0"/>
      <w:divBdr>
        <w:top w:val="none" w:sz="0" w:space="0" w:color="auto"/>
        <w:left w:val="none" w:sz="0" w:space="0" w:color="auto"/>
        <w:bottom w:val="none" w:sz="0" w:space="0" w:color="auto"/>
        <w:right w:val="none" w:sz="0" w:space="0" w:color="auto"/>
      </w:divBdr>
    </w:div>
    <w:div w:id="2091196478">
      <w:marLeft w:val="0"/>
      <w:marRight w:val="0"/>
      <w:marTop w:val="0"/>
      <w:marBottom w:val="0"/>
      <w:divBdr>
        <w:top w:val="none" w:sz="0" w:space="0" w:color="auto"/>
        <w:left w:val="none" w:sz="0" w:space="0" w:color="auto"/>
        <w:bottom w:val="none" w:sz="0" w:space="0" w:color="auto"/>
        <w:right w:val="none" w:sz="0" w:space="0" w:color="auto"/>
      </w:divBdr>
    </w:div>
    <w:div w:id="2091196479">
      <w:marLeft w:val="0"/>
      <w:marRight w:val="0"/>
      <w:marTop w:val="0"/>
      <w:marBottom w:val="0"/>
      <w:divBdr>
        <w:top w:val="none" w:sz="0" w:space="0" w:color="auto"/>
        <w:left w:val="none" w:sz="0" w:space="0" w:color="auto"/>
        <w:bottom w:val="none" w:sz="0" w:space="0" w:color="auto"/>
        <w:right w:val="none" w:sz="0" w:space="0" w:color="auto"/>
      </w:divBdr>
    </w:div>
    <w:div w:id="2091196480">
      <w:marLeft w:val="0"/>
      <w:marRight w:val="0"/>
      <w:marTop w:val="0"/>
      <w:marBottom w:val="0"/>
      <w:divBdr>
        <w:top w:val="none" w:sz="0" w:space="0" w:color="auto"/>
        <w:left w:val="none" w:sz="0" w:space="0" w:color="auto"/>
        <w:bottom w:val="none" w:sz="0" w:space="0" w:color="auto"/>
        <w:right w:val="none" w:sz="0" w:space="0" w:color="auto"/>
      </w:divBdr>
    </w:div>
    <w:div w:id="2091196481">
      <w:marLeft w:val="0"/>
      <w:marRight w:val="0"/>
      <w:marTop w:val="0"/>
      <w:marBottom w:val="0"/>
      <w:divBdr>
        <w:top w:val="none" w:sz="0" w:space="0" w:color="auto"/>
        <w:left w:val="none" w:sz="0" w:space="0" w:color="auto"/>
        <w:bottom w:val="none" w:sz="0" w:space="0" w:color="auto"/>
        <w:right w:val="none" w:sz="0" w:space="0" w:color="auto"/>
      </w:divBdr>
    </w:div>
    <w:div w:id="2091196482">
      <w:marLeft w:val="0"/>
      <w:marRight w:val="0"/>
      <w:marTop w:val="0"/>
      <w:marBottom w:val="0"/>
      <w:divBdr>
        <w:top w:val="none" w:sz="0" w:space="0" w:color="auto"/>
        <w:left w:val="none" w:sz="0" w:space="0" w:color="auto"/>
        <w:bottom w:val="none" w:sz="0" w:space="0" w:color="auto"/>
        <w:right w:val="none" w:sz="0" w:space="0" w:color="auto"/>
      </w:divBdr>
    </w:div>
    <w:div w:id="2091196483">
      <w:marLeft w:val="0"/>
      <w:marRight w:val="0"/>
      <w:marTop w:val="0"/>
      <w:marBottom w:val="0"/>
      <w:divBdr>
        <w:top w:val="none" w:sz="0" w:space="0" w:color="auto"/>
        <w:left w:val="none" w:sz="0" w:space="0" w:color="auto"/>
        <w:bottom w:val="none" w:sz="0" w:space="0" w:color="auto"/>
        <w:right w:val="none" w:sz="0" w:space="0" w:color="auto"/>
      </w:divBdr>
    </w:div>
    <w:div w:id="2091196484">
      <w:marLeft w:val="0"/>
      <w:marRight w:val="0"/>
      <w:marTop w:val="0"/>
      <w:marBottom w:val="0"/>
      <w:divBdr>
        <w:top w:val="none" w:sz="0" w:space="0" w:color="auto"/>
        <w:left w:val="none" w:sz="0" w:space="0" w:color="auto"/>
        <w:bottom w:val="none" w:sz="0" w:space="0" w:color="auto"/>
        <w:right w:val="none" w:sz="0" w:space="0" w:color="auto"/>
      </w:divBdr>
    </w:div>
    <w:div w:id="2091196485">
      <w:marLeft w:val="0"/>
      <w:marRight w:val="0"/>
      <w:marTop w:val="0"/>
      <w:marBottom w:val="0"/>
      <w:divBdr>
        <w:top w:val="none" w:sz="0" w:space="0" w:color="auto"/>
        <w:left w:val="none" w:sz="0" w:space="0" w:color="auto"/>
        <w:bottom w:val="none" w:sz="0" w:space="0" w:color="auto"/>
        <w:right w:val="none" w:sz="0" w:space="0" w:color="auto"/>
      </w:divBdr>
    </w:div>
    <w:div w:id="2091196486">
      <w:marLeft w:val="0"/>
      <w:marRight w:val="0"/>
      <w:marTop w:val="0"/>
      <w:marBottom w:val="0"/>
      <w:divBdr>
        <w:top w:val="none" w:sz="0" w:space="0" w:color="auto"/>
        <w:left w:val="none" w:sz="0" w:space="0" w:color="auto"/>
        <w:bottom w:val="none" w:sz="0" w:space="0" w:color="auto"/>
        <w:right w:val="none" w:sz="0" w:space="0" w:color="auto"/>
      </w:divBdr>
    </w:div>
    <w:div w:id="2091196487">
      <w:marLeft w:val="0"/>
      <w:marRight w:val="0"/>
      <w:marTop w:val="0"/>
      <w:marBottom w:val="0"/>
      <w:divBdr>
        <w:top w:val="none" w:sz="0" w:space="0" w:color="auto"/>
        <w:left w:val="none" w:sz="0" w:space="0" w:color="auto"/>
        <w:bottom w:val="none" w:sz="0" w:space="0" w:color="auto"/>
        <w:right w:val="none" w:sz="0" w:space="0" w:color="auto"/>
      </w:divBdr>
    </w:div>
    <w:div w:id="2091196488">
      <w:marLeft w:val="0"/>
      <w:marRight w:val="0"/>
      <w:marTop w:val="0"/>
      <w:marBottom w:val="0"/>
      <w:divBdr>
        <w:top w:val="none" w:sz="0" w:space="0" w:color="auto"/>
        <w:left w:val="none" w:sz="0" w:space="0" w:color="auto"/>
        <w:bottom w:val="none" w:sz="0" w:space="0" w:color="auto"/>
        <w:right w:val="none" w:sz="0" w:space="0" w:color="auto"/>
      </w:divBdr>
    </w:div>
    <w:div w:id="2091196489">
      <w:marLeft w:val="0"/>
      <w:marRight w:val="0"/>
      <w:marTop w:val="0"/>
      <w:marBottom w:val="0"/>
      <w:divBdr>
        <w:top w:val="none" w:sz="0" w:space="0" w:color="auto"/>
        <w:left w:val="none" w:sz="0" w:space="0" w:color="auto"/>
        <w:bottom w:val="none" w:sz="0" w:space="0" w:color="auto"/>
        <w:right w:val="none" w:sz="0" w:space="0" w:color="auto"/>
      </w:divBdr>
    </w:div>
    <w:div w:id="2091196490">
      <w:marLeft w:val="0"/>
      <w:marRight w:val="0"/>
      <w:marTop w:val="0"/>
      <w:marBottom w:val="0"/>
      <w:divBdr>
        <w:top w:val="none" w:sz="0" w:space="0" w:color="auto"/>
        <w:left w:val="none" w:sz="0" w:space="0" w:color="auto"/>
        <w:bottom w:val="none" w:sz="0" w:space="0" w:color="auto"/>
        <w:right w:val="none" w:sz="0" w:space="0" w:color="auto"/>
      </w:divBdr>
    </w:div>
    <w:div w:id="2091196491">
      <w:marLeft w:val="0"/>
      <w:marRight w:val="0"/>
      <w:marTop w:val="0"/>
      <w:marBottom w:val="0"/>
      <w:divBdr>
        <w:top w:val="none" w:sz="0" w:space="0" w:color="auto"/>
        <w:left w:val="none" w:sz="0" w:space="0" w:color="auto"/>
        <w:bottom w:val="none" w:sz="0" w:space="0" w:color="auto"/>
        <w:right w:val="none" w:sz="0" w:space="0" w:color="auto"/>
      </w:divBdr>
    </w:div>
    <w:div w:id="2091196492">
      <w:marLeft w:val="0"/>
      <w:marRight w:val="0"/>
      <w:marTop w:val="0"/>
      <w:marBottom w:val="0"/>
      <w:divBdr>
        <w:top w:val="none" w:sz="0" w:space="0" w:color="auto"/>
        <w:left w:val="none" w:sz="0" w:space="0" w:color="auto"/>
        <w:bottom w:val="none" w:sz="0" w:space="0" w:color="auto"/>
        <w:right w:val="none" w:sz="0" w:space="0" w:color="auto"/>
      </w:divBdr>
    </w:div>
    <w:div w:id="2091196493">
      <w:marLeft w:val="0"/>
      <w:marRight w:val="0"/>
      <w:marTop w:val="0"/>
      <w:marBottom w:val="0"/>
      <w:divBdr>
        <w:top w:val="none" w:sz="0" w:space="0" w:color="auto"/>
        <w:left w:val="none" w:sz="0" w:space="0" w:color="auto"/>
        <w:bottom w:val="none" w:sz="0" w:space="0" w:color="auto"/>
        <w:right w:val="none" w:sz="0" w:space="0" w:color="auto"/>
      </w:divBdr>
    </w:div>
    <w:div w:id="2091196494">
      <w:marLeft w:val="0"/>
      <w:marRight w:val="0"/>
      <w:marTop w:val="0"/>
      <w:marBottom w:val="0"/>
      <w:divBdr>
        <w:top w:val="none" w:sz="0" w:space="0" w:color="auto"/>
        <w:left w:val="none" w:sz="0" w:space="0" w:color="auto"/>
        <w:bottom w:val="none" w:sz="0" w:space="0" w:color="auto"/>
        <w:right w:val="none" w:sz="0" w:space="0" w:color="auto"/>
      </w:divBdr>
    </w:div>
    <w:div w:id="2091196495">
      <w:marLeft w:val="0"/>
      <w:marRight w:val="0"/>
      <w:marTop w:val="0"/>
      <w:marBottom w:val="0"/>
      <w:divBdr>
        <w:top w:val="none" w:sz="0" w:space="0" w:color="auto"/>
        <w:left w:val="none" w:sz="0" w:space="0" w:color="auto"/>
        <w:bottom w:val="none" w:sz="0" w:space="0" w:color="auto"/>
        <w:right w:val="none" w:sz="0" w:space="0" w:color="auto"/>
      </w:divBdr>
    </w:div>
    <w:div w:id="2091196496">
      <w:marLeft w:val="0"/>
      <w:marRight w:val="0"/>
      <w:marTop w:val="0"/>
      <w:marBottom w:val="0"/>
      <w:divBdr>
        <w:top w:val="none" w:sz="0" w:space="0" w:color="auto"/>
        <w:left w:val="none" w:sz="0" w:space="0" w:color="auto"/>
        <w:bottom w:val="none" w:sz="0" w:space="0" w:color="auto"/>
        <w:right w:val="none" w:sz="0" w:space="0" w:color="auto"/>
      </w:divBdr>
    </w:div>
    <w:div w:id="2091196497">
      <w:marLeft w:val="0"/>
      <w:marRight w:val="0"/>
      <w:marTop w:val="0"/>
      <w:marBottom w:val="0"/>
      <w:divBdr>
        <w:top w:val="none" w:sz="0" w:space="0" w:color="auto"/>
        <w:left w:val="none" w:sz="0" w:space="0" w:color="auto"/>
        <w:bottom w:val="none" w:sz="0" w:space="0" w:color="auto"/>
        <w:right w:val="none" w:sz="0" w:space="0" w:color="auto"/>
      </w:divBdr>
    </w:div>
    <w:div w:id="209119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5E2B9-315D-4488-BAC2-81D6060D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8466</Words>
  <Characters>46567</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agarcia</dc:creator>
  <cp:keywords/>
  <dc:description/>
  <cp:lastModifiedBy>Ana Belén Felipe Herrera</cp:lastModifiedBy>
  <cp:revision>3</cp:revision>
  <cp:lastPrinted>2021-03-23T17:47:00Z</cp:lastPrinted>
  <dcterms:created xsi:type="dcterms:W3CDTF">2021-03-30T12:53:00Z</dcterms:created>
  <dcterms:modified xsi:type="dcterms:W3CDTF">2021-03-30T16:04:00Z</dcterms:modified>
</cp:coreProperties>
</file>