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3B" w:rsidRPr="007E0356" w:rsidRDefault="0015223B" w:rsidP="0015223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E0356">
        <w:rPr>
          <w:rFonts w:ascii="Arial" w:hAnsi="Arial" w:cs="Arial"/>
          <w:b/>
          <w:sz w:val="20"/>
          <w:szCs w:val="20"/>
        </w:rPr>
        <w:t>Canalink</w:t>
      </w:r>
      <w:proofErr w:type="spellEnd"/>
      <w:r w:rsidRPr="007E0356">
        <w:rPr>
          <w:rFonts w:ascii="Arial" w:hAnsi="Arial" w:cs="Arial"/>
          <w:b/>
          <w:sz w:val="20"/>
          <w:szCs w:val="20"/>
        </w:rPr>
        <w:t xml:space="preserve"> África, S.L.U.</w:t>
      </w:r>
    </w:p>
    <w:p w:rsidR="0015223B" w:rsidRPr="007E0356" w:rsidRDefault="0015223B" w:rsidP="0015223B">
      <w:pPr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E0356">
        <w:rPr>
          <w:rFonts w:ascii="Arial" w:hAnsi="Arial" w:cs="Arial"/>
          <w:b/>
          <w:bCs/>
          <w:sz w:val="20"/>
          <w:szCs w:val="20"/>
          <w:u w:val="single"/>
        </w:rPr>
        <w:t>CUENTAS DE PÉRDIDAS Y GANANCIAS ABREVIADA CORRESPONDIENTE</w:t>
      </w:r>
    </w:p>
    <w:p w:rsidR="0015223B" w:rsidRPr="007E0356" w:rsidRDefault="0015223B" w:rsidP="0015223B">
      <w:pPr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E0356">
        <w:rPr>
          <w:rFonts w:ascii="Arial" w:hAnsi="Arial" w:cs="Arial"/>
          <w:b/>
          <w:bCs/>
          <w:sz w:val="20"/>
          <w:szCs w:val="20"/>
          <w:u w:val="single"/>
        </w:rPr>
        <w:t>A LOS EJERCICIOS TERMINADOS EL 31 DE DICIEMBRE DE 2019 Y 2018</w:t>
      </w:r>
    </w:p>
    <w:p w:rsidR="0015223B" w:rsidRPr="007E0356" w:rsidRDefault="0015223B" w:rsidP="0015223B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  <w:r w:rsidRPr="007E0356">
        <w:rPr>
          <w:rFonts w:ascii="Arial" w:hAnsi="Arial" w:cs="Arial"/>
          <w:sz w:val="20"/>
          <w:szCs w:val="20"/>
        </w:rPr>
        <w:t>(Expresados en euros)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1115"/>
        <w:gridCol w:w="1414"/>
        <w:gridCol w:w="1234"/>
      </w:tblGrid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PÉRDIDAS Y GANANCIAS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Notas de Memoria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 Importe neto de la cifra de negocios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1.734.285,98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1.722.693,91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 Otros ingresos de explotación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185.329,52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59.201,35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6. Gastos de personal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 Otros gastos de explotación </w:t>
            </w:r>
          </w:p>
        </w:tc>
        <w:tc>
          <w:tcPr>
            <w:tcW w:w="645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(832.679,06)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(753.380,78)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 Amortización del inmovilizado </w:t>
            </w:r>
          </w:p>
        </w:tc>
        <w:tc>
          <w:tcPr>
            <w:tcW w:w="645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(835.350,72)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(835.350,72)</w:t>
            </w:r>
          </w:p>
        </w:tc>
      </w:tr>
      <w:tr w:rsidR="0015223B" w:rsidRPr="00275DF2" w:rsidTr="00D7510B">
        <w:trPr>
          <w:trHeight w:val="170"/>
        </w:trPr>
        <w:tc>
          <w:tcPr>
            <w:tcW w:w="28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223B" w:rsidRPr="00275DF2" w:rsidTr="00D7510B">
        <w:trPr>
          <w:trHeight w:val="424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A) RESULTADO DE EXPLOTACIÓN </w:t>
            </w:r>
          </w:p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(1+2+3+4+5+6+7+8+9+10+11+12+13)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251.585,72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193.163,76</w:t>
            </w:r>
          </w:p>
        </w:tc>
      </w:tr>
      <w:tr w:rsidR="0015223B" w:rsidRPr="00275DF2" w:rsidTr="00D7510B">
        <w:trPr>
          <w:trHeight w:val="170"/>
        </w:trPr>
        <w:tc>
          <w:tcPr>
            <w:tcW w:w="282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17. Diferencias de cambio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(4.622,22</w:t>
            </w: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3.242,89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B) RESULTADO FINANCIERO (14+15+16+17+18+19)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(4.622,22)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3.242,89</w:t>
            </w:r>
          </w:p>
        </w:tc>
      </w:tr>
      <w:tr w:rsidR="0015223B" w:rsidRPr="00275DF2" w:rsidTr="00D7510B">
        <w:trPr>
          <w:trHeight w:val="227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C) RESULTADO ANTES DE IMPUESTOS (A+B)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246.963,50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196.406,65</w:t>
            </w: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20. Impuestos sobre beneficios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(61.7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(26.089,76)</w:t>
            </w:r>
          </w:p>
        </w:tc>
      </w:tr>
      <w:tr w:rsidR="0015223B" w:rsidRPr="00275DF2" w:rsidTr="00D7510B">
        <w:trPr>
          <w:trHeight w:val="113"/>
        </w:trPr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223B" w:rsidRPr="00275DF2" w:rsidTr="00D7510B">
        <w:trPr>
          <w:trHeight w:val="340"/>
        </w:trPr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D) RESULTADO DEL EJERCICIO (C+20)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185.22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223B" w:rsidRPr="00275DF2" w:rsidRDefault="0015223B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D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170.316,89</w:t>
            </w:r>
          </w:p>
        </w:tc>
      </w:tr>
    </w:tbl>
    <w:p w:rsidR="0015223B" w:rsidRDefault="0015223B" w:rsidP="0015223B">
      <w:pPr>
        <w:spacing w:before="120" w:after="0" w:line="26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7E0356">
        <w:rPr>
          <w:rFonts w:ascii="Arial" w:hAnsi="Arial" w:cs="Arial"/>
          <w:i/>
          <w:iCs/>
          <w:sz w:val="18"/>
          <w:szCs w:val="18"/>
        </w:rPr>
        <w:t>Las Cuentas Anuales Abreviadas de la Sociedad, que forman una sola unidad, comprenden estas Cuentas de Pérdidas y Ganancias Abreviadas, los Balances de Situación Abreviados y la Memoria Anual Abreviada adjunta que consta de 13 Notas.</w:t>
      </w:r>
    </w:p>
    <w:p w:rsidR="004D1B4D" w:rsidRDefault="004D1B4D">
      <w:bookmarkStart w:id="0" w:name="_GoBack"/>
      <w:bookmarkEnd w:id="0"/>
    </w:p>
    <w:sectPr w:rsidR="004D1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80"/>
    <w:rsid w:val="00091380"/>
    <w:rsid w:val="0015223B"/>
    <w:rsid w:val="004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3B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52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3B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52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2020-10-15T14:47:00Z</cp:lastPrinted>
  <dcterms:created xsi:type="dcterms:W3CDTF">2020-10-15T14:47:00Z</dcterms:created>
  <dcterms:modified xsi:type="dcterms:W3CDTF">2020-10-15T14:47:00Z</dcterms:modified>
</cp:coreProperties>
</file>