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91" w:rsidRDefault="001D0891" w:rsidP="001D0891">
      <w:pPr>
        <w:autoSpaceDE w:val="0"/>
        <w:autoSpaceDN w:val="0"/>
        <w:adjustRightInd w:val="0"/>
        <w:jc w:val="center"/>
        <w:rPr>
          <w:rFonts w:ascii="ArialMT" w:hAnsi="ArialMT" w:cs="ArialMT"/>
          <w:sz w:val="72"/>
          <w:szCs w:val="72"/>
          <w:lang w:eastAsia="es-ES_tradnl"/>
        </w:rPr>
      </w:pPr>
    </w:p>
    <w:p w:rsidR="001D0891" w:rsidRDefault="001D0891" w:rsidP="001D0891">
      <w:pPr>
        <w:autoSpaceDE w:val="0"/>
        <w:autoSpaceDN w:val="0"/>
        <w:adjustRightInd w:val="0"/>
        <w:jc w:val="center"/>
        <w:rPr>
          <w:rFonts w:ascii="ArialMT" w:hAnsi="ArialMT" w:cs="ArialMT"/>
          <w:sz w:val="72"/>
          <w:szCs w:val="72"/>
          <w:lang w:eastAsia="es-ES_tradnl"/>
        </w:rPr>
      </w:pPr>
    </w:p>
    <w:p w:rsidR="001D0891" w:rsidRDefault="001D0891" w:rsidP="001D0891">
      <w:pPr>
        <w:autoSpaceDE w:val="0"/>
        <w:autoSpaceDN w:val="0"/>
        <w:adjustRightInd w:val="0"/>
        <w:jc w:val="center"/>
        <w:rPr>
          <w:rFonts w:ascii="ArialMT" w:hAnsi="ArialMT" w:cs="ArialMT"/>
          <w:sz w:val="72"/>
          <w:szCs w:val="72"/>
          <w:lang w:eastAsia="es-ES_tradnl"/>
        </w:rPr>
      </w:pPr>
    </w:p>
    <w:p w:rsidR="00F47275" w:rsidRDefault="00F47275" w:rsidP="00F47275">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w:t>
      </w:r>
      <w:r w:rsidR="00AB4BD6">
        <w:rPr>
          <w:rFonts w:ascii="ArialMT" w:hAnsi="ArialMT" w:cs="ArialMT"/>
          <w:sz w:val="72"/>
          <w:szCs w:val="72"/>
          <w:lang w:eastAsia="es-ES_tradnl"/>
        </w:rPr>
        <w:t>20</w:t>
      </w:r>
    </w:p>
    <w:p w:rsidR="00F47275" w:rsidRDefault="00F47275" w:rsidP="00F47275">
      <w:pPr>
        <w:autoSpaceDE w:val="0"/>
        <w:autoSpaceDN w:val="0"/>
        <w:adjustRightInd w:val="0"/>
        <w:jc w:val="center"/>
        <w:rPr>
          <w:rFonts w:ascii="ArialMT" w:hAnsi="ArialMT" w:cs="ArialMT"/>
          <w:sz w:val="72"/>
          <w:szCs w:val="72"/>
          <w:lang w:eastAsia="es-ES_tradnl"/>
        </w:rPr>
      </w:pPr>
    </w:p>
    <w:p w:rsidR="00F47275" w:rsidRDefault="00F47275" w:rsidP="00F47275">
      <w:pPr>
        <w:autoSpaceDE w:val="0"/>
        <w:autoSpaceDN w:val="0"/>
        <w:adjustRightInd w:val="0"/>
        <w:jc w:val="center"/>
        <w:rPr>
          <w:rFonts w:ascii="ArialMT" w:hAnsi="ArialMT" w:cs="ArialMT"/>
          <w:sz w:val="72"/>
          <w:szCs w:val="72"/>
          <w:lang w:eastAsia="es-ES_tradnl"/>
        </w:rPr>
      </w:pPr>
    </w:p>
    <w:p w:rsidR="00F47275" w:rsidRDefault="00F47275" w:rsidP="00F47275">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F47275" w:rsidRDefault="00F47275" w:rsidP="00F47275">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w:t>
      </w:r>
      <w:r w:rsidR="00AB4BD6">
        <w:rPr>
          <w:rFonts w:ascii="ArialMT" w:hAnsi="ArialMT" w:cs="ArialMT"/>
          <w:sz w:val="48"/>
          <w:szCs w:val="48"/>
          <w:lang w:eastAsia="es-ES_tradnl"/>
        </w:rPr>
        <w:t>20</w:t>
      </w:r>
    </w:p>
    <w:p w:rsidR="00F47275" w:rsidRDefault="00F47275" w:rsidP="00F47275">
      <w:pPr>
        <w:autoSpaceDE w:val="0"/>
        <w:autoSpaceDN w:val="0"/>
        <w:adjustRightInd w:val="0"/>
        <w:jc w:val="center"/>
        <w:rPr>
          <w:rFonts w:ascii="ArialMT" w:hAnsi="ArialMT" w:cs="ArialMT"/>
          <w:sz w:val="48"/>
          <w:szCs w:val="48"/>
          <w:lang w:eastAsia="es-ES_tradnl"/>
        </w:rPr>
      </w:pPr>
    </w:p>
    <w:p w:rsidR="00F47275" w:rsidRPr="00ED5B6F" w:rsidRDefault="00F47275" w:rsidP="00F47275">
      <w:pPr>
        <w:jc w:val="center"/>
        <w:rPr>
          <w:rFonts w:ascii="Arial" w:hAnsi="Arial" w:cs="Arial"/>
          <w:b/>
          <w:bCs/>
          <w:sz w:val="26"/>
          <w:szCs w:val="26"/>
          <w:lang w:val="en-US"/>
        </w:rPr>
        <w:sectPr w:rsidR="00F47275" w:rsidRPr="00ED5B6F" w:rsidSect="009A6D0A">
          <w:footerReference w:type="default" r:id="rId9"/>
          <w:footerReference w:type="first" r:id="rId10"/>
          <w:pgSz w:w="11906" w:h="16838"/>
          <w:pgMar w:top="284" w:right="1418" w:bottom="284" w:left="1418" w:header="708" w:footer="708" w:gutter="0"/>
          <w:cols w:space="708"/>
          <w:titlePg/>
          <w:docGrid w:linePitch="360"/>
        </w:sectPr>
      </w:pPr>
      <w:r>
        <w:rPr>
          <w:rFonts w:ascii="ArialMT" w:hAnsi="ArialMT" w:cs="ArialMT"/>
          <w:sz w:val="48"/>
          <w:szCs w:val="48"/>
          <w:lang w:val="en-US" w:eastAsia="es-ES_tradnl"/>
        </w:rPr>
        <w:t>CANALINK</w:t>
      </w:r>
      <w:r w:rsidRPr="00ED5B6F">
        <w:rPr>
          <w:rFonts w:ascii="ArialMT" w:hAnsi="ArialMT" w:cs="ArialMT"/>
          <w:sz w:val="48"/>
          <w:szCs w:val="48"/>
          <w:lang w:val="en-US" w:eastAsia="es-ES_tradnl"/>
        </w:rPr>
        <w:t xml:space="preserve"> </w:t>
      </w:r>
      <w:r>
        <w:rPr>
          <w:rFonts w:ascii="ArialMT" w:hAnsi="ArialMT" w:cs="ArialMT"/>
          <w:sz w:val="48"/>
          <w:szCs w:val="48"/>
          <w:lang w:val="en-US" w:eastAsia="es-ES_tradnl"/>
        </w:rPr>
        <w:t>BAHARICOM</w:t>
      </w:r>
      <w:r w:rsidRPr="00ED5B6F">
        <w:rPr>
          <w:rFonts w:ascii="ArialMT" w:hAnsi="ArialMT" w:cs="ArialMT"/>
          <w:sz w:val="48"/>
          <w:szCs w:val="48"/>
          <w:lang w:val="en-US" w:eastAsia="es-ES_tradnl"/>
        </w:rPr>
        <w:t xml:space="preserve"> S.L.</w:t>
      </w:r>
    </w:p>
    <w:p w:rsidR="00B620BC" w:rsidRDefault="00485BB1">
      <w:r w:rsidRPr="00485BB1">
        <w:rPr>
          <w:noProof/>
        </w:rPr>
        <w:lastRenderedPageBreak/>
        <w:drawing>
          <wp:anchor distT="0" distB="0" distL="114300" distR="114300" simplePos="0" relativeHeight="251667456" behindDoc="1" locked="0" layoutInCell="1" allowOverlap="1" wp14:anchorId="21D66F6D" wp14:editId="3A7D5D20">
            <wp:simplePos x="0" y="0"/>
            <wp:positionH relativeFrom="column">
              <wp:posOffset>4445</wp:posOffset>
            </wp:positionH>
            <wp:positionV relativeFrom="paragraph">
              <wp:posOffset>636</wp:posOffset>
            </wp:positionV>
            <wp:extent cx="5400675" cy="9906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990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0BC" w:rsidRDefault="00B620BC"/>
    <w:p w:rsidR="00485BB1" w:rsidRDefault="00485BB1" w:rsidP="00494021">
      <w:pPr>
        <w:rPr>
          <w:rFonts w:ascii="Arial" w:hAnsi="Arial" w:cs="Arial"/>
          <w:b/>
          <w:bCs/>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Pr="00485BB1" w:rsidRDefault="00485BB1" w:rsidP="00485BB1">
      <w:pPr>
        <w:rPr>
          <w:rFonts w:ascii="Arial" w:hAnsi="Arial" w:cs="Arial"/>
          <w:sz w:val="26"/>
          <w:szCs w:val="26"/>
        </w:rPr>
      </w:pPr>
    </w:p>
    <w:p w:rsidR="00485BB1" w:rsidRDefault="00485BB1" w:rsidP="00485BB1">
      <w:pPr>
        <w:jc w:val="right"/>
        <w:rPr>
          <w:rFonts w:ascii="Arial" w:hAnsi="Arial" w:cs="Arial"/>
          <w:sz w:val="26"/>
          <w:szCs w:val="26"/>
        </w:rPr>
      </w:pPr>
    </w:p>
    <w:p w:rsidR="00485BB1" w:rsidRDefault="00485BB1" w:rsidP="00485BB1">
      <w:pPr>
        <w:jc w:val="right"/>
        <w:rPr>
          <w:rFonts w:ascii="Arial" w:hAnsi="Arial" w:cs="Arial"/>
          <w:sz w:val="26"/>
          <w:szCs w:val="26"/>
        </w:rPr>
      </w:pPr>
    </w:p>
    <w:p w:rsidR="00485BB1" w:rsidRDefault="00485BB1" w:rsidP="00485BB1">
      <w:pPr>
        <w:jc w:val="right"/>
        <w:rPr>
          <w:rFonts w:ascii="Arial" w:hAnsi="Arial" w:cs="Arial"/>
          <w:sz w:val="26"/>
          <w:szCs w:val="26"/>
        </w:rPr>
      </w:pPr>
    </w:p>
    <w:p w:rsidR="00485BB1" w:rsidRDefault="00485BB1" w:rsidP="00485BB1">
      <w:pPr>
        <w:jc w:val="right"/>
        <w:rPr>
          <w:rFonts w:ascii="Arial" w:hAnsi="Arial" w:cs="Arial"/>
          <w:sz w:val="26"/>
          <w:szCs w:val="26"/>
        </w:rPr>
      </w:pPr>
    </w:p>
    <w:p w:rsidR="00485BB1" w:rsidRPr="00485BB1" w:rsidRDefault="00485BB1" w:rsidP="00485BB1">
      <w:pPr>
        <w:jc w:val="right"/>
        <w:rPr>
          <w:rFonts w:ascii="Arial" w:hAnsi="Arial" w:cs="Arial"/>
          <w:sz w:val="26"/>
          <w:szCs w:val="26"/>
        </w:rPr>
      </w:pPr>
    </w:p>
    <w:p w:rsidR="00485BB1" w:rsidRPr="00485BB1" w:rsidRDefault="009A6D0A" w:rsidP="00485BB1">
      <w:pPr>
        <w:rPr>
          <w:rFonts w:ascii="Arial" w:hAnsi="Arial" w:cs="Arial"/>
          <w:sz w:val="26"/>
          <w:szCs w:val="26"/>
        </w:rPr>
      </w:pPr>
      <w:r w:rsidRPr="009A6D0A">
        <w:rPr>
          <w:noProof/>
        </w:rPr>
        <w:drawing>
          <wp:inline distT="0" distB="0" distL="0" distR="0" wp14:anchorId="21102718" wp14:editId="03B89A57">
            <wp:extent cx="5753100" cy="9505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9516442"/>
                    </a:xfrm>
                    <a:prstGeom prst="rect">
                      <a:avLst/>
                    </a:prstGeom>
                    <a:noFill/>
                    <a:ln>
                      <a:noFill/>
                    </a:ln>
                  </pic:spPr>
                </pic:pic>
              </a:graphicData>
            </a:graphic>
          </wp:inline>
        </w:drawing>
      </w:r>
    </w:p>
    <w:p w:rsidR="00485BB1" w:rsidRPr="00485BB1" w:rsidRDefault="00485BB1" w:rsidP="00485BB1">
      <w:pPr>
        <w:rPr>
          <w:rFonts w:ascii="Arial" w:hAnsi="Arial" w:cs="Arial"/>
          <w:sz w:val="26"/>
          <w:szCs w:val="26"/>
        </w:rPr>
      </w:pPr>
    </w:p>
    <w:p w:rsidR="00485BB1" w:rsidRDefault="00485BB1" w:rsidP="00325F0D">
      <w:r w:rsidRPr="00485BB1">
        <w:rPr>
          <w:noProof/>
        </w:rPr>
        <w:drawing>
          <wp:anchor distT="0" distB="0" distL="114300" distR="114300" simplePos="0" relativeHeight="251668480" behindDoc="1" locked="0" layoutInCell="1" allowOverlap="1" wp14:anchorId="78D278F8" wp14:editId="3D77CC69">
            <wp:simplePos x="0" y="0"/>
            <wp:positionH relativeFrom="column">
              <wp:posOffset>-167005</wp:posOffset>
            </wp:positionH>
            <wp:positionV relativeFrom="paragraph">
              <wp:posOffset>48896</wp:posOffset>
            </wp:positionV>
            <wp:extent cx="5760085" cy="9658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965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BB1" w:rsidRDefault="00485BB1" w:rsidP="00325F0D"/>
    <w:p w:rsidR="00485BB1" w:rsidRDefault="00485BB1" w:rsidP="00325F0D"/>
    <w:p w:rsidR="00485BB1" w:rsidRDefault="00485BB1" w:rsidP="00325F0D"/>
    <w:p w:rsidR="00E97C1B" w:rsidRDefault="00E97C1B" w:rsidP="00325F0D">
      <w:pPr>
        <w:rPr>
          <w:highlight w:val="green"/>
        </w:rPr>
      </w:pPr>
    </w:p>
    <w:p w:rsidR="00485BB1" w:rsidRDefault="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Pr="00485BB1" w:rsidRDefault="00485BB1" w:rsidP="00485BB1">
      <w:pPr>
        <w:rPr>
          <w:highlight w:val="green"/>
        </w:rPr>
      </w:pPr>
    </w:p>
    <w:p w:rsidR="00485BB1" w:rsidRDefault="00485BB1" w:rsidP="00485BB1">
      <w:pPr>
        <w:rPr>
          <w:highlight w:val="green"/>
        </w:rPr>
      </w:pPr>
    </w:p>
    <w:p w:rsidR="00485BB1" w:rsidRPr="00485BB1" w:rsidRDefault="00485BB1" w:rsidP="00485BB1">
      <w:pPr>
        <w:rPr>
          <w:highlight w:val="green"/>
        </w:rPr>
      </w:pPr>
    </w:p>
    <w:p w:rsidR="00485BB1" w:rsidRDefault="00485BB1">
      <w:pPr>
        <w:rPr>
          <w:highlight w:val="green"/>
        </w:rPr>
      </w:pPr>
      <w:r>
        <w:rPr>
          <w:highlight w:val="green"/>
        </w:rPr>
        <w:br w:type="page"/>
      </w:r>
    </w:p>
    <w:p w:rsidR="00485BB1" w:rsidRDefault="00485BB1" w:rsidP="00485BB1">
      <w:pPr>
        <w:tabs>
          <w:tab w:val="left" w:pos="2895"/>
        </w:tabs>
        <w:rPr>
          <w:highlight w:val="green"/>
        </w:rPr>
      </w:pPr>
      <w:r w:rsidRPr="00485BB1">
        <w:rPr>
          <w:noProof/>
        </w:rPr>
        <w:lastRenderedPageBreak/>
        <w:drawing>
          <wp:anchor distT="0" distB="0" distL="114300" distR="114300" simplePos="0" relativeHeight="251669504" behindDoc="1" locked="0" layoutInCell="1" allowOverlap="1" wp14:anchorId="606442E2" wp14:editId="0166C640">
            <wp:simplePos x="0" y="0"/>
            <wp:positionH relativeFrom="column">
              <wp:posOffset>-3810</wp:posOffset>
            </wp:positionH>
            <wp:positionV relativeFrom="paragraph">
              <wp:posOffset>-33655</wp:posOffset>
            </wp:positionV>
            <wp:extent cx="5400675" cy="9915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991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6A1" w:rsidRDefault="00E97C1B">
      <w:pPr>
        <w:rPr>
          <w:highlight w:val="green"/>
        </w:rPr>
        <w:sectPr w:rsidR="000C16A1" w:rsidSect="009A6D0A">
          <w:footerReference w:type="default" r:id="rId15"/>
          <w:pgSz w:w="11906" w:h="16838"/>
          <w:pgMar w:top="284" w:right="1418" w:bottom="284" w:left="1418" w:header="720" w:footer="720" w:gutter="0"/>
          <w:cols w:space="720"/>
          <w:docGrid w:linePitch="272"/>
        </w:sectPr>
      </w:pPr>
      <w:r>
        <w:rPr>
          <w:highlight w:val="green"/>
        </w:rPr>
        <w:br w:type="page"/>
      </w:r>
    </w:p>
    <w:p w:rsidR="00E97C1B" w:rsidRDefault="00485BB1">
      <w:pPr>
        <w:rPr>
          <w:highlight w:val="green"/>
        </w:rPr>
      </w:pPr>
      <w:r w:rsidRPr="00485BB1">
        <w:rPr>
          <w:noProof/>
        </w:rPr>
        <w:lastRenderedPageBreak/>
        <w:drawing>
          <wp:inline distT="0" distB="0" distL="0" distR="0" wp14:anchorId="2E2078CC" wp14:editId="2EC6EC33">
            <wp:extent cx="8943975" cy="6677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033" cy="6683787"/>
                    </a:xfrm>
                    <a:prstGeom prst="rect">
                      <a:avLst/>
                    </a:prstGeom>
                    <a:noFill/>
                    <a:ln>
                      <a:noFill/>
                    </a:ln>
                  </pic:spPr>
                </pic:pic>
              </a:graphicData>
            </a:graphic>
          </wp:inline>
        </w:drawing>
      </w:r>
    </w:p>
    <w:p w:rsidR="00485BB1" w:rsidRDefault="00485BB1">
      <w:pPr>
        <w:rPr>
          <w:highlight w:val="green"/>
        </w:rPr>
      </w:pPr>
    </w:p>
    <w:p w:rsidR="00485BB1" w:rsidRPr="00485BB1" w:rsidRDefault="00485BB1" w:rsidP="00485BB1">
      <w:pPr>
        <w:rPr>
          <w:highlight w:val="green"/>
        </w:rPr>
      </w:pPr>
    </w:p>
    <w:p w:rsidR="009A6D0A" w:rsidRDefault="009A6D0A" w:rsidP="00485BB1">
      <w:pPr>
        <w:rPr>
          <w:highlight w:val="green"/>
        </w:rPr>
      </w:pPr>
      <w:r w:rsidRPr="009A6D0A">
        <w:rPr>
          <w:noProof/>
        </w:rPr>
        <w:drawing>
          <wp:inline distT="0" distB="0" distL="0" distR="0" wp14:anchorId="20601BF3" wp14:editId="221CEE54">
            <wp:extent cx="8891270" cy="6461961"/>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6461961"/>
                    </a:xfrm>
                    <a:prstGeom prst="rect">
                      <a:avLst/>
                    </a:prstGeom>
                    <a:noFill/>
                    <a:ln>
                      <a:noFill/>
                    </a:ln>
                  </pic:spPr>
                </pic:pic>
              </a:graphicData>
            </a:graphic>
          </wp:inline>
        </w:drawing>
      </w:r>
    </w:p>
    <w:p w:rsidR="00E97C1B" w:rsidRDefault="00934868">
      <w:pPr>
        <w:rPr>
          <w:highlight w:val="green"/>
        </w:rPr>
        <w:sectPr w:rsidR="00E97C1B" w:rsidSect="009A6D0A">
          <w:pgSz w:w="16838" w:h="11906" w:orient="landscape"/>
          <w:pgMar w:top="284" w:right="1418" w:bottom="284" w:left="1418" w:header="720" w:footer="720" w:gutter="0"/>
          <w:cols w:space="720"/>
          <w:docGrid w:linePitch="272"/>
        </w:sectPr>
      </w:pPr>
      <w:r w:rsidRPr="009A6D0A">
        <w:rPr>
          <w:noProof/>
        </w:rPr>
        <w:lastRenderedPageBreak/>
        <w:drawing>
          <wp:inline distT="0" distB="0" distL="0" distR="0" wp14:anchorId="5B4DE565" wp14:editId="566634CC">
            <wp:extent cx="8886825" cy="6696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6699424"/>
                    </a:xfrm>
                    <a:prstGeom prst="rect">
                      <a:avLst/>
                    </a:prstGeom>
                    <a:noFill/>
                    <a:ln>
                      <a:noFill/>
                    </a:ln>
                  </pic:spPr>
                </pic:pic>
              </a:graphicData>
            </a:graphic>
          </wp:inline>
        </w:drawing>
      </w:r>
      <w:bookmarkStart w:id="0" w:name="_GoBack"/>
      <w:bookmarkEnd w:id="0"/>
    </w:p>
    <w:p w:rsidR="00E97C1B" w:rsidRDefault="00E97C1B">
      <w:pPr>
        <w:rPr>
          <w:highlight w:val="green"/>
        </w:rPr>
      </w:pPr>
    </w:p>
    <w:p w:rsidR="00E97C1B" w:rsidRDefault="009A6D0A">
      <w:pPr>
        <w:rPr>
          <w:highlight w:val="green"/>
        </w:rPr>
        <w:sectPr w:rsidR="00E97C1B" w:rsidSect="009A6D0A">
          <w:pgSz w:w="11906" w:h="16838"/>
          <w:pgMar w:top="284" w:right="1418" w:bottom="284" w:left="1418" w:header="720" w:footer="720" w:gutter="0"/>
          <w:cols w:space="720"/>
          <w:docGrid w:linePitch="272"/>
        </w:sectPr>
      </w:pPr>
      <w:r w:rsidRPr="009A6D0A">
        <w:rPr>
          <w:noProof/>
        </w:rPr>
        <w:drawing>
          <wp:inline distT="0" distB="0" distL="0" distR="0" wp14:anchorId="2533C06D" wp14:editId="4D69EA91">
            <wp:extent cx="5756962" cy="9734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9738756"/>
                    </a:xfrm>
                    <a:prstGeom prst="rect">
                      <a:avLst/>
                    </a:prstGeom>
                    <a:noFill/>
                    <a:ln>
                      <a:noFill/>
                    </a:ln>
                  </pic:spPr>
                </pic:pic>
              </a:graphicData>
            </a:graphic>
          </wp:inline>
        </w:drawing>
      </w:r>
      <w:r w:rsidR="00E97C1B">
        <w:rPr>
          <w:highlight w:val="green"/>
        </w:rPr>
        <w:br w:type="page"/>
      </w:r>
    </w:p>
    <w:p w:rsidR="001539F1" w:rsidRDefault="009A6D0A">
      <w:pPr>
        <w:rPr>
          <w:highlight w:val="green"/>
        </w:rPr>
        <w:sectPr w:rsidR="001539F1" w:rsidSect="009A6D0A">
          <w:pgSz w:w="11906" w:h="16838"/>
          <w:pgMar w:top="284" w:right="1418" w:bottom="284" w:left="1418" w:header="720" w:footer="720" w:gutter="0"/>
          <w:cols w:space="720"/>
          <w:docGrid w:linePitch="272"/>
        </w:sectPr>
      </w:pPr>
      <w:r w:rsidRPr="009A6D0A">
        <w:rPr>
          <w:noProof/>
        </w:rPr>
        <w:lastRenderedPageBreak/>
        <w:drawing>
          <wp:inline distT="0" distB="0" distL="0" distR="0" wp14:anchorId="64BF93EC" wp14:editId="249AC371">
            <wp:extent cx="5757504" cy="9858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9861707"/>
                    </a:xfrm>
                    <a:prstGeom prst="rect">
                      <a:avLst/>
                    </a:prstGeom>
                    <a:noFill/>
                    <a:ln>
                      <a:noFill/>
                    </a:ln>
                  </pic:spPr>
                </pic:pic>
              </a:graphicData>
            </a:graphic>
          </wp:inline>
        </w:drawing>
      </w:r>
    </w:p>
    <w:p w:rsidR="00E97C1B" w:rsidRDefault="00E97C1B">
      <w:pPr>
        <w:rPr>
          <w:highlight w:val="green"/>
        </w:rPr>
      </w:pPr>
    </w:p>
    <w:p w:rsidR="00E97C1B" w:rsidRDefault="00E7595A">
      <w:pPr>
        <w:rPr>
          <w:highlight w:val="green"/>
        </w:rPr>
      </w:pPr>
      <w:r w:rsidRPr="00E7595A">
        <w:rPr>
          <w:noProof/>
        </w:rPr>
        <w:drawing>
          <wp:inline distT="0" distB="0" distL="0" distR="0" wp14:anchorId="689D241E" wp14:editId="6F7F732E">
            <wp:extent cx="5757958" cy="8886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889127"/>
                    </a:xfrm>
                    <a:prstGeom prst="rect">
                      <a:avLst/>
                    </a:prstGeom>
                    <a:noFill/>
                    <a:ln>
                      <a:noFill/>
                    </a:ln>
                  </pic:spPr>
                </pic:pic>
              </a:graphicData>
            </a:graphic>
          </wp:inline>
        </w:drawing>
      </w:r>
      <w:r w:rsidR="00E97C1B">
        <w:rPr>
          <w:highlight w:val="green"/>
        </w:rPr>
        <w:br w:type="page"/>
      </w:r>
    </w:p>
    <w:tbl>
      <w:tblPr>
        <w:tblW w:w="0" w:type="auto"/>
        <w:tblLayout w:type="fixed"/>
        <w:tblLook w:val="01E0" w:firstRow="1" w:lastRow="1" w:firstColumn="1" w:lastColumn="1" w:noHBand="0" w:noVBand="0"/>
      </w:tblPr>
      <w:tblGrid>
        <w:gridCol w:w="1819"/>
        <w:gridCol w:w="6158"/>
      </w:tblGrid>
      <w:tr w:rsidR="00E7595A" w:rsidRPr="002449DE" w:rsidTr="00676A74">
        <w:trPr>
          <w:trHeight w:val="1433"/>
        </w:trPr>
        <w:tc>
          <w:tcPr>
            <w:tcW w:w="1819" w:type="dxa"/>
          </w:tcPr>
          <w:p w:rsidR="00E7595A" w:rsidRPr="002449DE" w:rsidRDefault="00E7595A" w:rsidP="00676A74">
            <w:pPr>
              <w:rPr>
                <w:rFonts w:cs="Arial"/>
              </w:rPr>
            </w:pPr>
            <w:r>
              <w:rPr>
                <w:rFonts w:cs="Arial"/>
                <w:noProof/>
              </w:rPr>
              <w:lastRenderedPageBreak/>
              <w:drawing>
                <wp:inline distT="0" distB="0" distL="0" distR="0">
                  <wp:extent cx="1085850" cy="847725"/>
                  <wp:effectExtent l="0" t="0" r="0" b="9525"/>
                  <wp:docPr id="25" name="Picture 25"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bildo de Tenerif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p>
        </w:tc>
        <w:tc>
          <w:tcPr>
            <w:tcW w:w="6158" w:type="dxa"/>
          </w:tcPr>
          <w:p w:rsidR="00E7595A" w:rsidRPr="0013745D" w:rsidRDefault="00E7595A" w:rsidP="00676A74">
            <w:pPr>
              <w:pStyle w:val="Area"/>
              <w:tabs>
                <w:tab w:val="left" w:leader="dot" w:pos="4591"/>
              </w:tabs>
              <w:spacing w:before="240"/>
              <w:jc w:val="left"/>
              <w:rPr>
                <w:b/>
                <w:sz w:val="22"/>
                <w:szCs w:val="22"/>
              </w:rPr>
            </w:pPr>
            <w:r w:rsidRPr="0013745D">
              <w:rPr>
                <w:b/>
                <w:sz w:val="22"/>
                <w:szCs w:val="22"/>
              </w:rPr>
              <w:t>Área de Presidencia, Hacienda y Modernización</w:t>
            </w:r>
          </w:p>
          <w:p w:rsidR="00E7595A" w:rsidRPr="002449DE" w:rsidRDefault="00E7595A" w:rsidP="00676A74">
            <w:pPr>
              <w:pStyle w:val="Area"/>
              <w:tabs>
                <w:tab w:val="left" w:leader="dot" w:pos="4734"/>
              </w:tabs>
              <w:spacing w:before="240"/>
            </w:pPr>
            <w:r w:rsidRPr="0013745D">
              <w:rPr>
                <w:b/>
                <w:sz w:val="22"/>
                <w:szCs w:val="22"/>
              </w:rPr>
              <w:t>Dirección Insular de Hacienda</w:t>
            </w:r>
          </w:p>
        </w:tc>
      </w:tr>
    </w:tbl>
    <w:p w:rsidR="00E7595A" w:rsidRDefault="00E7595A" w:rsidP="00E7595A">
      <w:pPr>
        <w:tabs>
          <w:tab w:val="left" w:pos="1439"/>
          <w:tab w:val="left" w:pos="2879"/>
          <w:tab w:val="left" w:pos="4319"/>
          <w:tab w:val="left" w:pos="5759"/>
        </w:tabs>
        <w:spacing w:before="60" w:after="60"/>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428"/>
      </w:tblGrid>
      <w:tr w:rsidR="00E7595A" w:rsidRPr="007D095A" w:rsidTr="00676A74">
        <w:trPr>
          <w:trHeight w:val="1261"/>
        </w:trPr>
        <w:tc>
          <w:tcPr>
            <w:tcW w:w="4231" w:type="pct"/>
            <w:shd w:val="clear" w:color="auto" w:fill="99CCFF"/>
            <w:vAlign w:val="center"/>
          </w:tcPr>
          <w:p w:rsidR="00E7595A" w:rsidRPr="00724476" w:rsidRDefault="00E7595A" w:rsidP="00676A74">
            <w:pPr>
              <w:jc w:val="center"/>
              <w:rPr>
                <w:rFonts w:cs="Arial"/>
                <w:b/>
                <w:bCs/>
                <w:sz w:val="22"/>
                <w:szCs w:val="22"/>
              </w:rPr>
            </w:pPr>
            <w:r w:rsidRPr="00EB7062">
              <w:rPr>
                <w:rFonts w:cs="Arial"/>
                <w:b/>
                <w:bCs/>
                <w:sz w:val="22"/>
                <w:szCs w:val="22"/>
              </w:rPr>
              <w:t>PRESUPUESTO GENERAL DEL CABILDO INSULAR DE TENERIFE</w:t>
            </w:r>
          </w:p>
        </w:tc>
        <w:tc>
          <w:tcPr>
            <w:tcW w:w="769" w:type="pct"/>
            <w:vMerge w:val="restart"/>
            <w:shd w:val="clear" w:color="auto" w:fill="99CCFF"/>
            <w:vAlign w:val="center"/>
          </w:tcPr>
          <w:p w:rsidR="00E7595A" w:rsidRPr="00EB7062" w:rsidRDefault="00E7595A" w:rsidP="00676A74">
            <w:pPr>
              <w:jc w:val="center"/>
              <w:rPr>
                <w:rFonts w:cs="Arial"/>
                <w:b/>
                <w:bCs/>
                <w:color w:val="000000"/>
                <w:sz w:val="22"/>
                <w:szCs w:val="22"/>
              </w:rPr>
            </w:pPr>
            <w:r>
              <w:rPr>
                <w:rFonts w:cs="Arial"/>
                <w:b/>
                <w:bCs/>
                <w:color w:val="000000"/>
                <w:sz w:val="22"/>
                <w:szCs w:val="22"/>
              </w:rPr>
              <w:t>2020</w:t>
            </w:r>
          </w:p>
        </w:tc>
      </w:tr>
      <w:tr w:rsidR="00E7595A" w:rsidRPr="007D095A" w:rsidTr="00676A74">
        <w:trPr>
          <w:trHeight w:val="428"/>
        </w:trPr>
        <w:tc>
          <w:tcPr>
            <w:tcW w:w="4231" w:type="pct"/>
            <w:shd w:val="clear" w:color="auto" w:fill="99CCFF"/>
            <w:vAlign w:val="center"/>
          </w:tcPr>
          <w:p w:rsidR="00E7595A" w:rsidRDefault="00E7595A" w:rsidP="00676A74">
            <w:pPr>
              <w:rPr>
                <w:rFonts w:cs="Arial"/>
                <w:b/>
                <w:sz w:val="22"/>
                <w:szCs w:val="22"/>
              </w:rPr>
            </w:pPr>
          </w:p>
          <w:p w:rsidR="00E7595A" w:rsidRDefault="00E7595A" w:rsidP="00676A74">
            <w:pPr>
              <w:rPr>
                <w:rFonts w:cs="Arial"/>
                <w:b/>
                <w:sz w:val="22"/>
                <w:szCs w:val="22"/>
              </w:rPr>
            </w:pPr>
            <w:r w:rsidRPr="00EB7062">
              <w:rPr>
                <w:rFonts w:cs="Arial"/>
                <w:b/>
                <w:sz w:val="22"/>
                <w:szCs w:val="22"/>
              </w:rPr>
              <w:t xml:space="preserve">ENTIDAD: </w:t>
            </w:r>
            <w:r>
              <w:rPr>
                <w:rFonts w:cs="Arial"/>
                <w:b/>
                <w:sz w:val="22"/>
                <w:szCs w:val="22"/>
              </w:rPr>
              <w:t>CANALINK BAHARICOM S.L.</w:t>
            </w:r>
          </w:p>
          <w:p w:rsidR="00E7595A" w:rsidRPr="00EB7062" w:rsidRDefault="00E7595A" w:rsidP="00676A74">
            <w:pPr>
              <w:jc w:val="center"/>
              <w:rPr>
                <w:rFonts w:cs="Arial"/>
                <w:b/>
                <w:sz w:val="22"/>
                <w:szCs w:val="22"/>
              </w:rPr>
            </w:pPr>
          </w:p>
        </w:tc>
        <w:tc>
          <w:tcPr>
            <w:tcW w:w="769" w:type="pct"/>
            <w:vMerge/>
            <w:shd w:val="clear" w:color="auto" w:fill="99CCFF"/>
            <w:vAlign w:val="center"/>
          </w:tcPr>
          <w:p w:rsidR="00E7595A" w:rsidRPr="00EB7062" w:rsidRDefault="00E7595A" w:rsidP="00676A74">
            <w:pPr>
              <w:ind w:firstLine="33"/>
              <w:jc w:val="center"/>
              <w:rPr>
                <w:rFonts w:cs="Arial"/>
                <w:b/>
                <w:bCs/>
                <w:color w:val="000000"/>
                <w:sz w:val="22"/>
                <w:szCs w:val="22"/>
              </w:rPr>
            </w:pPr>
          </w:p>
        </w:tc>
      </w:tr>
      <w:tr w:rsidR="00E7595A" w:rsidRPr="007D095A" w:rsidTr="00676A74">
        <w:trPr>
          <w:trHeight w:val="428"/>
        </w:trPr>
        <w:tc>
          <w:tcPr>
            <w:tcW w:w="4231" w:type="pct"/>
            <w:shd w:val="clear" w:color="auto" w:fill="99CCFF"/>
            <w:vAlign w:val="center"/>
          </w:tcPr>
          <w:p w:rsidR="00E7595A" w:rsidRPr="00EB7062" w:rsidRDefault="00E7595A" w:rsidP="00676A74">
            <w:pPr>
              <w:jc w:val="center"/>
              <w:rPr>
                <w:rFonts w:cs="Arial"/>
                <w:b/>
                <w:bCs/>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w:t>
            </w:r>
            <w:r>
              <w:rPr>
                <w:rFonts w:cs="Arial"/>
                <w:b/>
                <w:sz w:val="22"/>
                <w:szCs w:val="22"/>
              </w:rPr>
              <w:t>EALIZAR DURANTE EL EJERCICIO</w:t>
            </w:r>
            <w:r>
              <w:rPr>
                <w:rFonts w:cs="Arial"/>
                <w:b/>
                <w:bCs/>
                <w:sz w:val="22"/>
                <w:szCs w:val="22"/>
              </w:rPr>
              <w:t xml:space="preserve"> </w:t>
            </w:r>
            <w:r>
              <w:rPr>
                <w:rFonts w:cs="Arial"/>
                <w:b/>
                <w:sz w:val="22"/>
                <w:szCs w:val="22"/>
              </w:rPr>
              <w:t>2020</w:t>
            </w:r>
          </w:p>
          <w:p w:rsidR="00E7595A" w:rsidRDefault="00E7595A" w:rsidP="00676A74">
            <w:pPr>
              <w:rPr>
                <w:rFonts w:cs="Arial"/>
                <w:b/>
                <w:sz w:val="22"/>
                <w:szCs w:val="22"/>
              </w:rPr>
            </w:pPr>
          </w:p>
        </w:tc>
        <w:tc>
          <w:tcPr>
            <w:tcW w:w="769" w:type="pct"/>
            <w:vMerge/>
            <w:shd w:val="clear" w:color="auto" w:fill="99CCFF"/>
            <w:vAlign w:val="center"/>
          </w:tcPr>
          <w:p w:rsidR="00E7595A" w:rsidRPr="00EB7062" w:rsidRDefault="00E7595A" w:rsidP="00676A74">
            <w:pPr>
              <w:ind w:firstLine="33"/>
              <w:jc w:val="center"/>
              <w:rPr>
                <w:rFonts w:cs="Arial"/>
                <w:b/>
                <w:bCs/>
                <w:color w:val="000000"/>
                <w:sz w:val="22"/>
                <w:szCs w:val="22"/>
              </w:rPr>
            </w:pPr>
          </w:p>
        </w:tc>
      </w:tr>
      <w:tr w:rsidR="00E7595A" w:rsidRPr="001323D6" w:rsidTr="00676A74">
        <w:trPr>
          <w:trHeight w:val="8444"/>
        </w:trPr>
        <w:tc>
          <w:tcPr>
            <w:tcW w:w="5000" w:type="pct"/>
            <w:gridSpan w:val="2"/>
          </w:tcPr>
          <w:p w:rsidR="00E7595A" w:rsidRDefault="00E7595A" w:rsidP="00676A74">
            <w:pPr>
              <w:rPr>
                <w:rFonts w:cs="Arial"/>
                <w:b/>
                <w:color w:val="FF0000"/>
              </w:rPr>
            </w:pPr>
          </w:p>
          <w:p w:rsidR="00E7595A" w:rsidRDefault="00E7595A" w:rsidP="00E7595A">
            <w:pPr>
              <w:jc w:val="both"/>
              <w:rPr>
                <w:rFonts w:cs="Arial"/>
                <w:b/>
                <w:color w:val="FF0000"/>
              </w:rPr>
            </w:pPr>
          </w:p>
          <w:p w:rsidR="00E7595A" w:rsidRDefault="00E7595A" w:rsidP="00E7595A">
            <w:pPr>
              <w:numPr>
                <w:ilvl w:val="0"/>
                <w:numId w:val="13"/>
              </w:numPr>
              <w:spacing w:line="360" w:lineRule="auto"/>
              <w:jc w:val="both"/>
              <w:rPr>
                <w:b/>
                <w:bCs/>
                <w:sz w:val="18"/>
                <w:szCs w:val="18"/>
              </w:rPr>
            </w:pPr>
            <w:r w:rsidRPr="00F72BBB">
              <w:rPr>
                <w:b/>
                <w:bCs/>
                <w:sz w:val="18"/>
                <w:szCs w:val="18"/>
              </w:rPr>
              <w:t>OBJETIVOS ESTRATÉGICOS</w:t>
            </w:r>
          </w:p>
          <w:p w:rsidR="00E7595A" w:rsidRPr="00E7595A" w:rsidRDefault="00E7595A" w:rsidP="00E7595A">
            <w:pPr>
              <w:spacing w:after="120"/>
              <w:jc w:val="both"/>
              <w:rPr>
                <w:sz w:val="18"/>
                <w:szCs w:val="18"/>
              </w:rPr>
            </w:pPr>
            <w:r w:rsidRPr="00E7595A">
              <w:rPr>
                <w:sz w:val="18"/>
                <w:szCs w:val="18"/>
              </w:rPr>
              <w:t xml:space="preserve">Contribuir a la penetración a gran escala de las energías renovables en el sistema eléctrico insular mediante la definición de estrategias de integración dinámicas que contribuyan a la adaptación a las curvas de demanda. </w:t>
            </w:r>
          </w:p>
          <w:p w:rsidR="00E7595A" w:rsidRPr="00F72BBB" w:rsidRDefault="00E7595A" w:rsidP="00E7595A">
            <w:pPr>
              <w:spacing w:after="120" w:line="360" w:lineRule="auto"/>
              <w:jc w:val="both"/>
              <w:rPr>
                <w:b/>
                <w:bCs/>
                <w:sz w:val="18"/>
                <w:szCs w:val="18"/>
              </w:rPr>
            </w:pPr>
          </w:p>
          <w:p w:rsidR="00E7595A" w:rsidRPr="00F72BBB" w:rsidRDefault="00E7595A" w:rsidP="00E7595A">
            <w:pPr>
              <w:jc w:val="both"/>
              <w:rPr>
                <w:sz w:val="18"/>
                <w:szCs w:val="18"/>
              </w:rPr>
            </w:pPr>
          </w:p>
          <w:p w:rsidR="00E7595A" w:rsidRPr="00F72BBB" w:rsidRDefault="00E7595A" w:rsidP="00E7595A">
            <w:pPr>
              <w:numPr>
                <w:ilvl w:val="0"/>
                <w:numId w:val="13"/>
              </w:numPr>
              <w:pBdr>
                <w:top w:val="single" w:sz="4" w:space="1" w:color="auto"/>
              </w:pBdr>
              <w:spacing w:line="360" w:lineRule="auto"/>
              <w:jc w:val="both"/>
              <w:rPr>
                <w:b/>
                <w:sz w:val="18"/>
                <w:szCs w:val="18"/>
              </w:rPr>
            </w:pPr>
            <w:r>
              <w:rPr>
                <w:b/>
                <w:sz w:val="18"/>
                <w:szCs w:val="18"/>
              </w:rPr>
              <w:t>OBJETIVOS Y ACCIONES CONCRETAS A DESARROLLAR EN EL AÑO</w:t>
            </w:r>
          </w:p>
          <w:p w:rsidR="00E7595A" w:rsidRDefault="00E7595A" w:rsidP="00E7595A">
            <w:pPr>
              <w:jc w:val="both"/>
              <w:rPr>
                <w:b/>
                <w:sz w:val="18"/>
                <w:szCs w:val="18"/>
              </w:rPr>
            </w:pPr>
          </w:p>
          <w:p w:rsidR="00E7595A" w:rsidRPr="00F72BBB" w:rsidRDefault="00E7595A" w:rsidP="00E7595A">
            <w:pPr>
              <w:jc w:val="both"/>
              <w:rPr>
                <w:sz w:val="18"/>
                <w:szCs w:val="18"/>
              </w:rPr>
            </w:pPr>
          </w:p>
          <w:p w:rsidR="00E7595A" w:rsidRPr="00F72BBB" w:rsidRDefault="00E7595A" w:rsidP="00E7595A">
            <w:pPr>
              <w:jc w:val="both"/>
              <w:rPr>
                <w:b/>
                <w:bCs/>
                <w:sz w:val="18"/>
                <w:szCs w:val="18"/>
              </w:rPr>
            </w:pPr>
            <w:r w:rsidRPr="00F72BBB">
              <w:rPr>
                <w:b/>
                <w:bCs/>
                <w:sz w:val="18"/>
                <w:szCs w:val="18"/>
              </w:rPr>
              <w:t>Proyecto FOTOBAT 352MW + 1GWh</w:t>
            </w:r>
          </w:p>
          <w:p w:rsidR="00E7595A" w:rsidRPr="00F72BBB" w:rsidRDefault="00E7595A" w:rsidP="00E7595A">
            <w:pPr>
              <w:jc w:val="both"/>
              <w:rPr>
                <w:sz w:val="18"/>
                <w:szCs w:val="18"/>
              </w:rPr>
            </w:pPr>
            <w:r w:rsidRPr="00F72BBB">
              <w:rPr>
                <w:sz w:val="18"/>
                <w:szCs w:val="18"/>
              </w:rPr>
              <w:t>Se trata de un proyecto de alto valor estratégico para la isla de Tenerife, que propone la instalación de una plataforma fotovoltaica de 352MW de capacidad de generación y un sistema de acumulación electroquímico con una capacidad de acumulación de 1GWh. La producción anual de esta plataforma fotovoltaica sería de unos 651GWh, lo que significaría un 18,6% del consumo total de la isla. Por su parte, el sistema de acumulación permitiría suavizar la curva de carga de la isla, además de permitir una mayor integración de EERR en el sistema eléctrico insular. En el marco de este proyecto se ha llevado a cabo la firma entre el IDAE y el Cabildo Insular de Tenerife</w:t>
            </w:r>
            <w:r>
              <w:rPr>
                <w:sz w:val="18"/>
                <w:szCs w:val="18"/>
              </w:rPr>
              <w:t xml:space="preserve"> </w:t>
            </w:r>
            <w:r w:rsidRPr="00F72BBB">
              <w:rPr>
                <w:sz w:val="18"/>
                <w:szCs w:val="18"/>
              </w:rPr>
              <w:t xml:space="preserve">de un protocolo de actuación para la alta penetración de EERR en sistemas eléctricos, en el que, como actuación más destacable, se engloba el proyecto FOTOBAT 352MW + 1GWh. Las previsiones para 2020 están relacionadas con la promoción del proyecto a nivel de los diferentes actores públicos y privados implicados, la concreción de la ubicación geográfica definitiva del proyecto, así como la tramitación administrativa del proyecto para su posterior ejecución. </w:t>
            </w:r>
          </w:p>
          <w:p w:rsidR="00E7595A" w:rsidRPr="0006074F" w:rsidRDefault="00E7595A" w:rsidP="00676A74">
            <w:pPr>
              <w:rPr>
                <w:rFonts w:cs="Arial"/>
                <w:b/>
                <w:color w:val="FF0000"/>
              </w:rPr>
            </w:pPr>
          </w:p>
        </w:tc>
      </w:tr>
    </w:tbl>
    <w:p w:rsidR="00530265" w:rsidRPr="00530265" w:rsidRDefault="00530265" w:rsidP="00325F0D">
      <w:pPr>
        <w:rPr>
          <w:highlight w:val="green"/>
        </w:rPr>
      </w:pPr>
    </w:p>
    <w:sectPr w:rsidR="00530265" w:rsidRPr="00530265" w:rsidSect="009A6D0A">
      <w:pgSz w:w="11906" w:h="16838"/>
      <w:pgMar w:top="284" w:right="1418" w:bottom="28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43" w:rsidRDefault="00E87743" w:rsidP="004D60DF">
      <w:r>
        <w:separator/>
      </w:r>
    </w:p>
  </w:endnote>
  <w:endnote w:type="continuationSeparator" w:id="0">
    <w:p w:rsidR="00E87743" w:rsidRDefault="00E87743" w:rsidP="004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75" w:rsidRPr="008B7A42" w:rsidRDefault="00F47275" w:rsidP="0068133D">
    <w:pPr>
      <w:pStyle w:val="Footer"/>
      <w:jc w:val="center"/>
      <w:rPr>
        <w:rFonts w:ascii="Arial" w:hAnsi="Arial" w:cs="Arial"/>
      </w:rPr>
    </w:pPr>
    <w:r w:rsidRPr="008B7A42">
      <w:rPr>
        <w:rFonts w:ascii="Arial" w:hAnsi="Arial" w:cs="Arial"/>
      </w:rPr>
      <w:t>AIET - Presupuesto de Actuaciones, Inversiones y Financiación 2013</w:t>
    </w:r>
  </w:p>
  <w:p w:rsidR="00F47275" w:rsidRPr="008B7A42" w:rsidRDefault="00F47275" w:rsidP="0068133D">
    <w:pPr>
      <w:pStyle w:val="Footer"/>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75" w:rsidRPr="004D60DF" w:rsidRDefault="00F47275" w:rsidP="002F40E3">
    <w:pPr>
      <w:pStyle w:val="Footer"/>
      <w:jc w:val="center"/>
      <w:rPr>
        <w:rFonts w:ascii="Arial" w:hAnsi="Arial" w:cs="Arial"/>
      </w:rPr>
    </w:pPr>
    <w:r>
      <w:rPr>
        <w:rFonts w:ascii="Arial" w:hAnsi="Arial" w:cs="Arial"/>
      </w:rPr>
      <w:t>-</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726217">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04" w:rsidRPr="004D60DF" w:rsidRDefault="00242B04" w:rsidP="004D60DF">
    <w:pPr>
      <w:pStyle w:val="Footer"/>
      <w:jc w:val="center"/>
      <w:rPr>
        <w:rFonts w:ascii="Arial" w:hAnsi="Arial" w:cs="Arial"/>
      </w:rPr>
    </w:pPr>
    <w:r>
      <w:rPr>
        <w:rFonts w:ascii="Arial" w:hAnsi="Arial" w:cs="Arial"/>
      </w:rPr>
      <w:t xml:space="preserve">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726217">
      <w:rPr>
        <w:rFonts w:ascii="Arial" w:hAnsi="Arial" w:cs="Arial"/>
        <w:noProof/>
      </w:rPr>
      <w:t>7</w:t>
    </w:r>
    <w:r w:rsidRPr="001266BC">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43" w:rsidRDefault="00E87743" w:rsidP="004D60DF">
      <w:r>
        <w:separator/>
      </w:r>
    </w:p>
  </w:footnote>
  <w:footnote w:type="continuationSeparator" w:id="0">
    <w:p w:rsidR="00E87743" w:rsidRDefault="00E87743" w:rsidP="004D6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C0A0017"/>
    <w:lvl w:ilvl="0">
      <w:start w:val="1"/>
      <w:numFmt w:val="lowerLetter"/>
      <w:lvlText w:val="%1)"/>
      <w:lvlJc w:val="left"/>
      <w:pPr>
        <w:ind w:left="720" w:hanging="360"/>
      </w:pPr>
    </w:lvl>
  </w:abstractNum>
  <w:abstractNum w:abstractNumId="2">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3">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561D85"/>
    <w:multiLevelType w:val="hybridMultilevel"/>
    <w:tmpl w:val="7638C51E"/>
    <w:lvl w:ilvl="0" w:tplc="0898296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9D43FA"/>
    <w:multiLevelType w:val="hybridMultilevel"/>
    <w:tmpl w:val="DDB29BCA"/>
    <w:lvl w:ilvl="0" w:tplc="B8447FD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0EDD63F0"/>
    <w:multiLevelType w:val="hybridMultilevel"/>
    <w:tmpl w:val="173CAC2A"/>
    <w:lvl w:ilvl="0" w:tplc="AA9EDC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8">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10">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11">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3"/>
  </w:num>
  <w:num w:numId="4">
    <w:abstractNumId w:val="2"/>
  </w:num>
  <w:num w:numId="5">
    <w:abstractNumId w:val="10"/>
  </w:num>
  <w:num w:numId="6">
    <w:abstractNumId w:val="7"/>
  </w:num>
  <w:num w:numId="7">
    <w:abstractNumId w:val="9"/>
  </w:num>
  <w:num w:numId="8">
    <w:abstractNumId w:val="11"/>
  </w:num>
  <w:num w:numId="9">
    <w:abstractNumId w:val="12"/>
  </w:num>
  <w:num w:numId="10">
    <w:abstractNumId w:val="4"/>
  </w:num>
  <w:num w:numId="11">
    <w:abstractNumId w:val="0"/>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1"/>
    <w:rsid w:val="00003622"/>
    <w:rsid w:val="000065DC"/>
    <w:rsid w:val="00022840"/>
    <w:rsid w:val="000505A7"/>
    <w:rsid w:val="00057A67"/>
    <w:rsid w:val="000870E0"/>
    <w:rsid w:val="00094956"/>
    <w:rsid w:val="000C16A1"/>
    <w:rsid w:val="000C46D4"/>
    <w:rsid w:val="000D3A6F"/>
    <w:rsid w:val="000F3AAF"/>
    <w:rsid w:val="00111A27"/>
    <w:rsid w:val="00116EC0"/>
    <w:rsid w:val="001266BC"/>
    <w:rsid w:val="001323D6"/>
    <w:rsid w:val="0013588F"/>
    <w:rsid w:val="00151395"/>
    <w:rsid w:val="001539F1"/>
    <w:rsid w:val="00153E2B"/>
    <w:rsid w:val="00186584"/>
    <w:rsid w:val="00187EDF"/>
    <w:rsid w:val="001A6B4F"/>
    <w:rsid w:val="001A7BB2"/>
    <w:rsid w:val="001B7998"/>
    <w:rsid w:val="001C4EBC"/>
    <w:rsid w:val="001C5325"/>
    <w:rsid w:val="001D0891"/>
    <w:rsid w:val="00216D2F"/>
    <w:rsid w:val="002307E1"/>
    <w:rsid w:val="002331D2"/>
    <w:rsid w:val="00242B04"/>
    <w:rsid w:val="00245CD4"/>
    <w:rsid w:val="00260B08"/>
    <w:rsid w:val="0028602E"/>
    <w:rsid w:val="002C76C0"/>
    <w:rsid w:val="002E31FE"/>
    <w:rsid w:val="002E5952"/>
    <w:rsid w:val="00311CF2"/>
    <w:rsid w:val="00324375"/>
    <w:rsid w:val="00325F0D"/>
    <w:rsid w:val="00341538"/>
    <w:rsid w:val="003519CA"/>
    <w:rsid w:val="00373C26"/>
    <w:rsid w:val="003A288A"/>
    <w:rsid w:val="003B1350"/>
    <w:rsid w:val="003B2369"/>
    <w:rsid w:val="003B5FF9"/>
    <w:rsid w:val="003B78F5"/>
    <w:rsid w:val="003C632E"/>
    <w:rsid w:val="003C7A65"/>
    <w:rsid w:val="003F557F"/>
    <w:rsid w:val="004013D0"/>
    <w:rsid w:val="00404469"/>
    <w:rsid w:val="00413331"/>
    <w:rsid w:val="004577DB"/>
    <w:rsid w:val="00472E8A"/>
    <w:rsid w:val="004752F8"/>
    <w:rsid w:val="00485BB1"/>
    <w:rsid w:val="00494021"/>
    <w:rsid w:val="00495C6D"/>
    <w:rsid w:val="004B6A47"/>
    <w:rsid w:val="004C26E0"/>
    <w:rsid w:val="004D60DF"/>
    <w:rsid w:val="005146DF"/>
    <w:rsid w:val="00522339"/>
    <w:rsid w:val="00530265"/>
    <w:rsid w:val="00536F36"/>
    <w:rsid w:val="005476C6"/>
    <w:rsid w:val="005577DB"/>
    <w:rsid w:val="0056078A"/>
    <w:rsid w:val="00594BE6"/>
    <w:rsid w:val="005A20C8"/>
    <w:rsid w:val="005A6066"/>
    <w:rsid w:val="005D4BE9"/>
    <w:rsid w:val="00642DC9"/>
    <w:rsid w:val="00667778"/>
    <w:rsid w:val="0068133D"/>
    <w:rsid w:val="006C0D46"/>
    <w:rsid w:val="006D2087"/>
    <w:rsid w:val="006E6301"/>
    <w:rsid w:val="00726217"/>
    <w:rsid w:val="00746727"/>
    <w:rsid w:val="007912DB"/>
    <w:rsid w:val="007A454A"/>
    <w:rsid w:val="007B4B15"/>
    <w:rsid w:val="007D095A"/>
    <w:rsid w:val="007F5D69"/>
    <w:rsid w:val="0080528B"/>
    <w:rsid w:val="00823B8B"/>
    <w:rsid w:val="00827051"/>
    <w:rsid w:val="00835D94"/>
    <w:rsid w:val="00842D62"/>
    <w:rsid w:val="00874B1A"/>
    <w:rsid w:val="00885989"/>
    <w:rsid w:val="00890645"/>
    <w:rsid w:val="008A178C"/>
    <w:rsid w:val="008A2726"/>
    <w:rsid w:val="008A393B"/>
    <w:rsid w:val="008B44C4"/>
    <w:rsid w:val="008B7A42"/>
    <w:rsid w:val="008C0245"/>
    <w:rsid w:val="008C16B4"/>
    <w:rsid w:val="008C2041"/>
    <w:rsid w:val="008F0AD6"/>
    <w:rsid w:val="00922655"/>
    <w:rsid w:val="00934868"/>
    <w:rsid w:val="00942F1C"/>
    <w:rsid w:val="0094310B"/>
    <w:rsid w:val="00944F96"/>
    <w:rsid w:val="009A6D0A"/>
    <w:rsid w:val="009E479E"/>
    <w:rsid w:val="009E7FD0"/>
    <w:rsid w:val="009F5E51"/>
    <w:rsid w:val="00A03A1A"/>
    <w:rsid w:val="00A27BA1"/>
    <w:rsid w:val="00A35883"/>
    <w:rsid w:val="00A37746"/>
    <w:rsid w:val="00A502FF"/>
    <w:rsid w:val="00A534C7"/>
    <w:rsid w:val="00A81E0A"/>
    <w:rsid w:val="00A87A0C"/>
    <w:rsid w:val="00A94B51"/>
    <w:rsid w:val="00AB4BD6"/>
    <w:rsid w:val="00AB659E"/>
    <w:rsid w:val="00AE0403"/>
    <w:rsid w:val="00AE6902"/>
    <w:rsid w:val="00AF0308"/>
    <w:rsid w:val="00B3443D"/>
    <w:rsid w:val="00B42F49"/>
    <w:rsid w:val="00B620BC"/>
    <w:rsid w:val="00BA19B2"/>
    <w:rsid w:val="00BB2125"/>
    <w:rsid w:val="00BF1B62"/>
    <w:rsid w:val="00C02131"/>
    <w:rsid w:val="00C1135B"/>
    <w:rsid w:val="00C2042B"/>
    <w:rsid w:val="00C25CBF"/>
    <w:rsid w:val="00C514F8"/>
    <w:rsid w:val="00CA7231"/>
    <w:rsid w:val="00CB2709"/>
    <w:rsid w:val="00CC5782"/>
    <w:rsid w:val="00CE104E"/>
    <w:rsid w:val="00CE4D2A"/>
    <w:rsid w:val="00D03968"/>
    <w:rsid w:val="00D135A1"/>
    <w:rsid w:val="00D30C0F"/>
    <w:rsid w:val="00D41EC1"/>
    <w:rsid w:val="00D46DFE"/>
    <w:rsid w:val="00DA112E"/>
    <w:rsid w:val="00DB332C"/>
    <w:rsid w:val="00DC5106"/>
    <w:rsid w:val="00DE3840"/>
    <w:rsid w:val="00E27C0B"/>
    <w:rsid w:val="00E640B6"/>
    <w:rsid w:val="00E7595A"/>
    <w:rsid w:val="00E87743"/>
    <w:rsid w:val="00E97C1B"/>
    <w:rsid w:val="00EB32EB"/>
    <w:rsid w:val="00EB7062"/>
    <w:rsid w:val="00EF1085"/>
    <w:rsid w:val="00F00C7A"/>
    <w:rsid w:val="00F01AEA"/>
    <w:rsid w:val="00F3376F"/>
    <w:rsid w:val="00F47275"/>
    <w:rsid w:val="00F57B27"/>
    <w:rsid w:val="00F6727D"/>
    <w:rsid w:val="00F702DF"/>
    <w:rsid w:val="00F81BDE"/>
    <w:rsid w:val="00F90517"/>
    <w:rsid w:val="00F916BB"/>
    <w:rsid w:val="00FB6AF1"/>
    <w:rsid w:val="00FC5028"/>
    <w:rsid w:val="00FC6E51"/>
    <w:rsid w:val="00FD5E48"/>
    <w:rsid w:val="00FF02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76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link w:val="BodyTextChar"/>
    <w:uiPriority w:val="99"/>
    <w:rsid w:val="00324375"/>
    <w:pPr>
      <w:tabs>
        <w:tab w:val="left" w:pos="-720"/>
        <w:tab w:val="left" w:pos="0"/>
      </w:tabs>
      <w:suppressAutoHyphens/>
      <w:jc w:val="both"/>
    </w:pPr>
    <w:rPr>
      <w:sz w:val="24"/>
    </w:rPr>
  </w:style>
  <w:style w:type="character" w:customStyle="1" w:styleId="BodyTextChar">
    <w:name w:val="Body Text Char"/>
    <w:basedOn w:val="DefaultParagraphFont"/>
    <w:link w:val="BodyText"/>
    <w:uiPriority w:val="99"/>
    <w:semiHidden/>
    <w:locked/>
    <w:rsid w:val="00311CF2"/>
    <w:rPr>
      <w:rFonts w:cs="Times New Roman"/>
      <w:sz w:val="20"/>
      <w:szCs w:val="20"/>
      <w:lang w:val="es-ES" w:eastAsia="es-ES"/>
    </w:rPr>
  </w:style>
  <w:style w:type="paragraph" w:customStyle="1" w:styleId="Estilo">
    <w:name w:val="Estilo"/>
    <w:basedOn w:val="Normal"/>
    <w:next w:val="BodyTextIndent"/>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link w:val="BodyTextIndentChar"/>
    <w:uiPriority w:val="99"/>
    <w:rsid w:val="00324375"/>
    <w:pPr>
      <w:spacing w:after="120"/>
      <w:ind w:left="283"/>
    </w:pPr>
  </w:style>
  <w:style w:type="character" w:customStyle="1" w:styleId="BodyTextIndentChar">
    <w:name w:val="Body Text Indent Char"/>
    <w:basedOn w:val="DefaultParagraphFont"/>
    <w:link w:val="BodyTextIndent"/>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Header">
    <w:name w:val="header"/>
    <w:basedOn w:val="Normal"/>
    <w:link w:val="HeaderChar"/>
    <w:uiPriority w:val="99"/>
    <w:rsid w:val="004D60DF"/>
    <w:pPr>
      <w:tabs>
        <w:tab w:val="center" w:pos="4252"/>
        <w:tab w:val="right" w:pos="8504"/>
      </w:tabs>
    </w:pPr>
  </w:style>
  <w:style w:type="character" w:customStyle="1" w:styleId="HeaderChar">
    <w:name w:val="Header Char"/>
    <w:basedOn w:val="DefaultParagraphFont"/>
    <w:link w:val="Header"/>
    <w:uiPriority w:val="99"/>
    <w:locked/>
    <w:rsid w:val="004D60DF"/>
    <w:rPr>
      <w:rFonts w:cs="Times New Roman"/>
    </w:rPr>
  </w:style>
  <w:style w:type="paragraph" w:styleId="Footer">
    <w:name w:val="footer"/>
    <w:basedOn w:val="Normal"/>
    <w:link w:val="FooterChar"/>
    <w:uiPriority w:val="99"/>
    <w:rsid w:val="004D60DF"/>
    <w:pPr>
      <w:tabs>
        <w:tab w:val="center" w:pos="4252"/>
        <w:tab w:val="right" w:pos="8504"/>
      </w:tabs>
    </w:pPr>
  </w:style>
  <w:style w:type="character" w:customStyle="1" w:styleId="FooterChar">
    <w:name w:val="Footer Char"/>
    <w:basedOn w:val="DefaultParagraphFont"/>
    <w:link w:val="Footer"/>
    <w:uiPriority w:val="99"/>
    <w:locked/>
    <w:rsid w:val="004D60DF"/>
    <w:rPr>
      <w:rFonts w:cs="Times New Roman"/>
    </w:rPr>
  </w:style>
  <w:style w:type="paragraph" w:styleId="BalloonText">
    <w:name w:val="Balloon Text"/>
    <w:basedOn w:val="Normal"/>
    <w:link w:val="BalloonTextChar"/>
    <w:uiPriority w:val="99"/>
    <w:rsid w:val="00494021"/>
    <w:rPr>
      <w:rFonts w:ascii="Tahoma" w:hAnsi="Tahoma" w:cs="Tahoma"/>
      <w:sz w:val="16"/>
      <w:szCs w:val="16"/>
    </w:rPr>
  </w:style>
  <w:style w:type="character" w:customStyle="1" w:styleId="BalloonTextChar">
    <w:name w:val="Balloon Text Char"/>
    <w:basedOn w:val="DefaultParagraphFont"/>
    <w:link w:val="BalloonText"/>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E104E"/>
    <w:pPr>
      <w:ind w:left="720"/>
      <w:contextualSpacing/>
    </w:pPr>
  </w:style>
  <w:style w:type="paragraph" w:customStyle="1" w:styleId="Area">
    <w:name w:val="Area"/>
    <w:basedOn w:val="Normal"/>
    <w:rsid w:val="00530265"/>
    <w:pPr>
      <w:spacing w:line="200" w:lineRule="exact"/>
      <w:jc w:val="both"/>
    </w:pPr>
    <w:rPr>
      <w:rFonts w:ascii="Arial" w:eastAsia="Cambria" w:hAnsi="Arial" w:cs="Arial"/>
      <w:bCs/>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76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link w:val="BodyTextChar"/>
    <w:uiPriority w:val="99"/>
    <w:rsid w:val="00324375"/>
    <w:pPr>
      <w:tabs>
        <w:tab w:val="left" w:pos="-720"/>
        <w:tab w:val="left" w:pos="0"/>
      </w:tabs>
      <w:suppressAutoHyphens/>
      <w:jc w:val="both"/>
    </w:pPr>
    <w:rPr>
      <w:sz w:val="24"/>
    </w:rPr>
  </w:style>
  <w:style w:type="character" w:customStyle="1" w:styleId="BodyTextChar">
    <w:name w:val="Body Text Char"/>
    <w:basedOn w:val="DefaultParagraphFont"/>
    <w:link w:val="BodyText"/>
    <w:uiPriority w:val="99"/>
    <w:semiHidden/>
    <w:locked/>
    <w:rsid w:val="00311CF2"/>
    <w:rPr>
      <w:rFonts w:cs="Times New Roman"/>
      <w:sz w:val="20"/>
      <w:szCs w:val="20"/>
      <w:lang w:val="es-ES" w:eastAsia="es-ES"/>
    </w:rPr>
  </w:style>
  <w:style w:type="paragraph" w:customStyle="1" w:styleId="Estilo">
    <w:name w:val="Estilo"/>
    <w:basedOn w:val="Normal"/>
    <w:next w:val="BodyTextIndent"/>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link w:val="BodyTextIndentChar"/>
    <w:uiPriority w:val="99"/>
    <w:rsid w:val="00324375"/>
    <w:pPr>
      <w:spacing w:after="120"/>
      <w:ind w:left="283"/>
    </w:pPr>
  </w:style>
  <w:style w:type="character" w:customStyle="1" w:styleId="BodyTextIndentChar">
    <w:name w:val="Body Text Indent Char"/>
    <w:basedOn w:val="DefaultParagraphFont"/>
    <w:link w:val="BodyTextIndent"/>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Header">
    <w:name w:val="header"/>
    <w:basedOn w:val="Normal"/>
    <w:link w:val="HeaderChar"/>
    <w:uiPriority w:val="99"/>
    <w:rsid w:val="004D60DF"/>
    <w:pPr>
      <w:tabs>
        <w:tab w:val="center" w:pos="4252"/>
        <w:tab w:val="right" w:pos="8504"/>
      </w:tabs>
    </w:pPr>
  </w:style>
  <w:style w:type="character" w:customStyle="1" w:styleId="HeaderChar">
    <w:name w:val="Header Char"/>
    <w:basedOn w:val="DefaultParagraphFont"/>
    <w:link w:val="Header"/>
    <w:uiPriority w:val="99"/>
    <w:locked/>
    <w:rsid w:val="004D60DF"/>
    <w:rPr>
      <w:rFonts w:cs="Times New Roman"/>
    </w:rPr>
  </w:style>
  <w:style w:type="paragraph" w:styleId="Footer">
    <w:name w:val="footer"/>
    <w:basedOn w:val="Normal"/>
    <w:link w:val="FooterChar"/>
    <w:uiPriority w:val="99"/>
    <w:rsid w:val="004D60DF"/>
    <w:pPr>
      <w:tabs>
        <w:tab w:val="center" w:pos="4252"/>
        <w:tab w:val="right" w:pos="8504"/>
      </w:tabs>
    </w:pPr>
  </w:style>
  <w:style w:type="character" w:customStyle="1" w:styleId="FooterChar">
    <w:name w:val="Footer Char"/>
    <w:basedOn w:val="DefaultParagraphFont"/>
    <w:link w:val="Footer"/>
    <w:uiPriority w:val="99"/>
    <w:locked/>
    <w:rsid w:val="004D60DF"/>
    <w:rPr>
      <w:rFonts w:cs="Times New Roman"/>
    </w:rPr>
  </w:style>
  <w:style w:type="paragraph" w:styleId="BalloonText">
    <w:name w:val="Balloon Text"/>
    <w:basedOn w:val="Normal"/>
    <w:link w:val="BalloonTextChar"/>
    <w:uiPriority w:val="99"/>
    <w:rsid w:val="00494021"/>
    <w:rPr>
      <w:rFonts w:ascii="Tahoma" w:hAnsi="Tahoma" w:cs="Tahoma"/>
      <w:sz w:val="16"/>
      <w:szCs w:val="16"/>
    </w:rPr>
  </w:style>
  <w:style w:type="character" w:customStyle="1" w:styleId="BalloonTextChar">
    <w:name w:val="Balloon Text Char"/>
    <w:basedOn w:val="DefaultParagraphFont"/>
    <w:link w:val="BalloonText"/>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E104E"/>
    <w:pPr>
      <w:ind w:left="720"/>
      <w:contextualSpacing/>
    </w:pPr>
  </w:style>
  <w:style w:type="paragraph" w:customStyle="1" w:styleId="Area">
    <w:name w:val="Area"/>
    <w:basedOn w:val="Normal"/>
    <w:rsid w:val="00530265"/>
    <w:pPr>
      <w:spacing w:line="200" w:lineRule="exact"/>
      <w:jc w:val="both"/>
    </w:pPr>
    <w:rPr>
      <w:rFonts w:ascii="Arial" w:eastAsia="Cambria" w:hAnsi="Arial" w:cs="Arial"/>
      <w:bCs/>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351">
      <w:bodyDiv w:val="1"/>
      <w:marLeft w:val="0"/>
      <w:marRight w:val="0"/>
      <w:marTop w:val="0"/>
      <w:marBottom w:val="0"/>
      <w:divBdr>
        <w:top w:val="none" w:sz="0" w:space="0" w:color="auto"/>
        <w:left w:val="none" w:sz="0" w:space="0" w:color="auto"/>
        <w:bottom w:val="none" w:sz="0" w:space="0" w:color="auto"/>
        <w:right w:val="none" w:sz="0" w:space="0" w:color="auto"/>
      </w:divBdr>
    </w:div>
    <w:div w:id="53545936">
      <w:bodyDiv w:val="1"/>
      <w:marLeft w:val="0"/>
      <w:marRight w:val="0"/>
      <w:marTop w:val="0"/>
      <w:marBottom w:val="0"/>
      <w:divBdr>
        <w:top w:val="none" w:sz="0" w:space="0" w:color="auto"/>
        <w:left w:val="none" w:sz="0" w:space="0" w:color="auto"/>
        <w:bottom w:val="none" w:sz="0" w:space="0" w:color="auto"/>
        <w:right w:val="none" w:sz="0" w:space="0" w:color="auto"/>
      </w:divBdr>
    </w:div>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603463016">
      <w:bodyDiv w:val="1"/>
      <w:marLeft w:val="0"/>
      <w:marRight w:val="0"/>
      <w:marTop w:val="0"/>
      <w:marBottom w:val="0"/>
      <w:divBdr>
        <w:top w:val="none" w:sz="0" w:space="0" w:color="auto"/>
        <w:left w:val="none" w:sz="0" w:space="0" w:color="auto"/>
        <w:bottom w:val="none" w:sz="0" w:space="0" w:color="auto"/>
        <w:right w:val="none" w:sz="0" w:space="0" w:color="auto"/>
      </w:divBdr>
    </w:div>
    <w:div w:id="881408193">
      <w:bodyDiv w:val="1"/>
      <w:marLeft w:val="0"/>
      <w:marRight w:val="0"/>
      <w:marTop w:val="0"/>
      <w:marBottom w:val="0"/>
      <w:divBdr>
        <w:top w:val="none" w:sz="0" w:space="0" w:color="auto"/>
        <w:left w:val="none" w:sz="0" w:space="0" w:color="auto"/>
        <w:bottom w:val="none" w:sz="0" w:space="0" w:color="auto"/>
        <w:right w:val="none" w:sz="0" w:space="0" w:color="auto"/>
      </w:divBdr>
    </w:div>
    <w:div w:id="927156433">
      <w:bodyDiv w:val="1"/>
      <w:marLeft w:val="0"/>
      <w:marRight w:val="0"/>
      <w:marTop w:val="0"/>
      <w:marBottom w:val="0"/>
      <w:divBdr>
        <w:top w:val="none" w:sz="0" w:space="0" w:color="auto"/>
        <w:left w:val="none" w:sz="0" w:space="0" w:color="auto"/>
        <w:bottom w:val="none" w:sz="0" w:space="0" w:color="auto"/>
        <w:right w:val="none" w:sz="0" w:space="0" w:color="auto"/>
      </w:divBdr>
    </w:div>
    <w:div w:id="944968044">
      <w:bodyDiv w:val="1"/>
      <w:marLeft w:val="0"/>
      <w:marRight w:val="0"/>
      <w:marTop w:val="0"/>
      <w:marBottom w:val="0"/>
      <w:divBdr>
        <w:top w:val="none" w:sz="0" w:space="0" w:color="auto"/>
        <w:left w:val="none" w:sz="0" w:space="0" w:color="auto"/>
        <w:bottom w:val="none" w:sz="0" w:space="0" w:color="auto"/>
        <w:right w:val="none" w:sz="0" w:space="0" w:color="auto"/>
      </w:divBdr>
    </w:div>
    <w:div w:id="1566450098">
      <w:bodyDiv w:val="1"/>
      <w:marLeft w:val="0"/>
      <w:marRight w:val="0"/>
      <w:marTop w:val="0"/>
      <w:marBottom w:val="0"/>
      <w:divBdr>
        <w:top w:val="none" w:sz="0" w:space="0" w:color="auto"/>
        <w:left w:val="none" w:sz="0" w:space="0" w:color="auto"/>
        <w:bottom w:val="none" w:sz="0" w:space="0" w:color="auto"/>
        <w:right w:val="none" w:sz="0" w:space="0" w:color="auto"/>
      </w:divBdr>
    </w:div>
    <w:div w:id="1695690273">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22DA9-13EB-4065-AC4B-89FC0338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295</Words>
  <Characters>1628</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PRESUPUESTO GENERAL DEL CABILDO INSULAR DE TENERIFE</vt:lpstr>
      <vt:lpstr>PRESUPUESTO GENERAL DEL CABILDO INSULAR DE TENERIFE</vt:lpstr>
    </vt:vector>
  </TitlesOfParts>
  <Company>Cabildo Insular de Tenerife</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Ana Quesada Coello</cp:lastModifiedBy>
  <cp:revision>5</cp:revision>
  <cp:lastPrinted>2016-11-08T14:35:00Z</cp:lastPrinted>
  <dcterms:created xsi:type="dcterms:W3CDTF">2019-11-22T13:39:00Z</dcterms:created>
  <dcterms:modified xsi:type="dcterms:W3CDTF">2019-11-25T08:06:00Z</dcterms:modified>
</cp:coreProperties>
</file>