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2F40E3"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2016</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2016</w:t>
      </w:r>
    </w:p>
    <w:p w:rsidR="002F40E3" w:rsidRDefault="002F40E3" w:rsidP="002F40E3">
      <w:pPr>
        <w:autoSpaceDE w:val="0"/>
        <w:autoSpaceDN w:val="0"/>
        <w:adjustRightInd w:val="0"/>
        <w:jc w:val="center"/>
        <w:rPr>
          <w:rFonts w:ascii="ArialMT" w:hAnsi="ArialMT" w:cs="ArialMT"/>
          <w:sz w:val="48"/>
          <w:szCs w:val="48"/>
          <w:lang w:eastAsia="es-ES_tradnl"/>
        </w:rPr>
      </w:pPr>
    </w:p>
    <w:p w:rsidR="00B620BC" w:rsidRPr="00ED5B6F" w:rsidRDefault="00FE25D4" w:rsidP="002F40E3">
      <w:pPr>
        <w:jc w:val="center"/>
        <w:rPr>
          <w:rFonts w:ascii="Arial" w:hAnsi="Arial" w:cs="Arial"/>
          <w:b/>
          <w:bCs/>
          <w:sz w:val="26"/>
          <w:szCs w:val="26"/>
          <w:lang w:val="en-US"/>
        </w:rPr>
        <w:sectPr w:rsidR="00B620BC" w:rsidRPr="00ED5B6F" w:rsidSect="0068133D">
          <w:footerReference w:type="default" r:id="rId8"/>
          <w:footerReference w:type="first" r:id="rId9"/>
          <w:pgSz w:w="11906" w:h="16838"/>
          <w:pgMar w:top="1417" w:right="1701" w:bottom="1417" w:left="1701" w:header="708" w:footer="708" w:gutter="0"/>
          <w:cols w:space="708"/>
          <w:titlePg/>
          <w:docGrid w:linePitch="360"/>
        </w:sectPr>
      </w:pPr>
      <w:r>
        <w:rPr>
          <w:rFonts w:ascii="ArialMT" w:hAnsi="ArialMT" w:cs="ArialMT"/>
          <w:sz w:val="48"/>
          <w:szCs w:val="48"/>
          <w:lang w:val="en-US" w:eastAsia="es-ES_tradnl"/>
        </w:rPr>
        <w:t>CANALINK</w:t>
      </w:r>
      <w:r w:rsidR="00ED5B6F" w:rsidRPr="00ED5B6F">
        <w:rPr>
          <w:rFonts w:ascii="ArialMT" w:hAnsi="ArialMT" w:cs="ArialMT"/>
          <w:sz w:val="48"/>
          <w:szCs w:val="48"/>
          <w:lang w:val="en-US" w:eastAsia="es-ES_tradnl"/>
        </w:rPr>
        <w:t xml:space="preserve"> </w:t>
      </w:r>
      <w:r w:rsidR="00C75ACF">
        <w:rPr>
          <w:rFonts w:ascii="ArialMT" w:hAnsi="ArialMT" w:cs="ArialMT"/>
          <w:sz w:val="48"/>
          <w:szCs w:val="48"/>
          <w:lang w:val="en-US" w:eastAsia="es-ES_tradnl"/>
        </w:rPr>
        <w:t>AFRICA</w:t>
      </w:r>
      <w:r w:rsidR="00ED5B6F" w:rsidRPr="00ED5B6F">
        <w:rPr>
          <w:rFonts w:ascii="ArialMT" w:hAnsi="ArialMT" w:cs="ArialMT"/>
          <w:sz w:val="48"/>
          <w:szCs w:val="48"/>
          <w:lang w:val="en-US" w:eastAsia="es-ES_tradnl"/>
        </w:rPr>
        <w:t xml:space="preserve"> S.L.</w:t>
      </w:r>
    </w:p>
    <w:p w:rsidR="00ED5B6F" w:rsidRDefault="0025557D" w:rsidP="00DA112E">
      <w:pPr>
        <w:rPr>
          <w:highlight w:val="green"/>
          <w:lang w:val="en-US"/>
        </w:rPr>
        <w:sectPr w:rsidR="00ED5B6F" w:rsidSect="00C14A19">
          <w:footerReference w:type="default" r:id="rId10"/>
          <w:pgSz w:w="11906" w:h="16838"/>
          <w:pgMar w:top="1418" w:right="1701" w:bottom="1418" w:left="1701" w:header="720" w:footer="720" w:gutter="0"/>
          <w:cols w:space="720"/>
          <w:docGrid w:linePitch="272"/>
        </w:sectPr>
      </w:pPr>
      <w:bookmarkStart w:id="0" w:name="_GoBack"/>
      <w:bookmarkStart w:id="1" w:name="RANGE!B2:E62"/>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83" type="#_x0000_t75" style="position:absolute;margin-left:19.95pt;margin-top:-40.85pt;width:369pt;height:732pt;z-index:251702272;visibility:visible;mso-wrap-style:square;mso-wrap-distance-left:9pt;mso-wrap-distance-top:0;mso-wrap-distance-right:9pt;mso-wrap-distance-bottom:0;mso-position-horizontal-relative:text;mso-position-vertical-relative:text" wrapcoords="-88 0 -88 21511 18351 21511 21424 21379 21600 21157 21600 19918 21161 19830 21512 19830 21512 19121 18351 19121 21512 18989 21512 18413 18351 18413 21512 18236 21512 17749 21600 17572 21600 16377 21161 16289 21512 16289 21512 14872 18351 14872 21512 14739 21512 14164 18351 14164 21512 14075 21512 13544 21600 13323 21600 12172 21337 12128 18351 12039 21512 12039 21512 11464 18351 11331 21512 11331 21512 10623 21600 10490 21600 9339 21337 9295 18351 9207 21512 9207 21512 8543 18351 8498 21512 8454 21512 7790 20722 7790 21600 7613 21600 6507 18351 6374 21512 6330 21512 5710 21600 5533 21600 4382 21337 4338 18351 4249 21337 4249 21600 4205 21600 2921 21161 2833 21512 2833 21512 2169 18351 2125 21512 2080 21512 1416 21600 1284 21600 0 -88 0">
            <v:imagedata r:id="rId11" o:title=""/>
            <w10:wrap type="through"/>
          </v:shape>
        </w:pict>
      </w:r>
    </w:p>
    <w:p w:rsidR="00ED5B6F" w:rsidRDefault="0025557D" w:rsidP="00DA112E">
      <w:pPr>
        <w:rPr>
          <w:noProof/>
        </w:rPr>
        <w:sectPr w:rsidR="00ED5B6F" w:rsidSect="00C14A19">
          <w:pgSz w:w="11906" w:h="16838"/>
          <w:pgMar w:top="1418" w:right="1701" w:bottom="1418" w:left="1701" w:header="720" w:footer="720" w:gutter="0"/>
          <w:cols w:space="720"/>
          <w:docGrid w:linePitch="272"/>
        </w:sectPr>
      </w:pPr>
      <w:r w:rsidRPr="004A1340">
        <w:rPr>
          <w:noProof/>
        </w:rPr>
        <w:lastRenderedPageBreak/>
        <w:pict>
          <v:shape id="_x0000_i1029" type="#_x0000_t75" style="width:425.25pt;height:640.5pt;visibility:visible;mso-wrap-style:square">
            <v:imagedata r:id="rId12" o:title=""/>
          </v:shape>
        </w:pict>
      </w:r>
    </w:p>
    <w:p w:rsidR="00ED5B6F" w:rsidRDefault="0025557D" w:rsidP="00DA112E">
      <w:pPr>
        <w:rPr>
          <w:highlight w:val="green"/>
          <w:lang w:val="en-US"/>
        </w:rPr>
        <w:sectPr w:rsidR="00ED5B6F" w:rsidSect="00C14A19">
          <w:pgSz w:w="11906" w:h="16838"/>
          <w:pgMar w:top="1418" w:right="1701" w:bottom="1418" w:left="1701" w:header="720" w:footer="720" w:gutter="0"/>
          <w:cols w:space="720"/>
          <w:docGrid w:linePitch="272"/>
        </w:sectPr>
      </w:pPr>
      <w:r>
        <w:rPr>
          <w:noProof/>
        </w:rPr>
        <w:lastRenderedPageBreak/>
        <w:pict>
          <v:shape id="Imagen 3" o:spid="_x0000_s1084" type="#_x0000_t75" style="position:absolute;margin-left:13.2pt;margin-top:-8.6pt;width:400.5pt;height:711.75pt;z-index:251704320;visibility:visible;mso-wrap-style:square;mso-wrap-distance-left:9pt;mso-wrap-distance-top:0;mso-wrap-distance-right:9pt;mso-wrap-distance-bottom:0;mso-position-horizontal-relative:text;mso-position-vertical-relative:text" wrapcoords="-81 0 -81 21532 18040 21532 21438 21395 21438 21213 21600 21031 21600 19711 21519 19665 21519 18983 18040 18937 21519 18755 21519 18300 20629 18209 21600 18027 21600 17025 21196 16934 18040 16752 20387 16752 21600 16524 21600 15295 21519 14658 18040 14567 21519 14385 21519 13975 18040 13839 21519 13702 21519 13292 18040 13110 21519 13065 21519 12609 18040 12382 21357 12382 21600 12336 21600 11335 18040 10925 21519 10880 21519 10242 18040 10197 21519 10197 21519 9468 18040 9468 21519 9195 21519 8786 18040 8740 21519 8513 21519 8103 20629 8012 21600 7830 21600 6828 21196 6737 18040 6555 21519 6510 21519 5872 18040 5827 21519 5827 21519 5098 21600 4461 21115 4370 21438 4370 21600 4188 21519 3642 21519 2913 21600 2458 21438 2367 20225 2185 21519 1775 21519 1684 19011 1457 20953 1457 21600 1275 21600 0 -81 0">
            <v:imagedata r:id="rId13" o:title=""/>
            <w10:wrap type="through"/>
          </v:shape>
        </w:pict>
      </w:r>
    </w:p>
    <w:p w:rsidR="00C75ACF" w:rsidRDefault="0025557D" w:rsidP="00DA112E">
      <w:pPr>
        <w:rPr>
          <w:highlight w:val="green"/>
          <w:lang w:val="en-US"/>
        </w:rPr>
        <w:sectPr w:rsidR="00C75ACF" w:rsidSect="00C75ACF">
          <w:pgSz w:w="16838" w:h="11906" w:orient="landscape"/>
          <w:pgMar w:top="1701" w:right="1418" w:bottom="1701" w:left="1418" w:header="720" w:footer="720" w:gutter="0"/>
          <w:cols w:space="720"/>
          <w:docGrid w:linePitch="272"/>
        </w:sectPr>
      </w:pPr>
      <w:r>
        <w:rPr>
          <w:noProof/>
        </w:rPr>
        <w:lastRenderedPageBreak/>
        <w:pict>
          <v:shape id="Imagen 4" o:spid="_x0000_s1085" type="#_x0000_t75" style="position:absolute;margin-left:16.8pt;margin-top:-16.5pt;width:673.5pt;height:456.75pt;z-index:251706368;visibility:visible;mso-wrap-style:square;mso-position-horizontal-relative:text;mso-position-vertical-relative:text">
            <v:imagedata r:id="rId14" o:title=""/>
          </v:shape>
        </w:pict>
      </w:r>
    </w:p>
    <w:p w:rsidR="00C75ACF" w:rsidRDefault="005F424F" w:rsidP="00DA112E">
      <w:pPr>
        <w:rPr>
          <w:highlight w:val="green"/>
          <w:lang w:val="en-US"/>
        </w:rPr>
        <w:sectPr w:rsidR="00C75ACF" w:rsidSect="00C75ACF">
          <w:pgSz w:w="16838" w:h="11906" w:orient="landscape"/>
          <w:pgMar w:top="1701" w:right="1418" w:bottom="1701" w:left="1418" w:header="720" w:footer="720" w:gutter="0"/>
          <w:cols w:space="720"/>
          <w:docGrid w:linePitch="272"/>
        </w:sectPr>
      </w:pPr>
      <w:r w:rsidRPr="004A1340">
        <w:rPr>
          <w:noProof/>
        </w:rPr>
        <w:lastRenderedPageBreak/>
        <w:pict>
          <v:shape id="Imagen 5" o:spid="_x0000_i1032" type="#_x0000_t75" style="width:711.75pt;height:416.25pt;visibility:visible;mso-wrap-style:square">
            <v:imagedata r:id="rId15" o:title=""/>
          </v:shape>
        </w:pict>
      </w:r>
    </w:p>
    <w:p w:rsidR="00C75ACF" w:rsidRDefault="008C3603" w:rsidP="00DA112E">
      <w:pPr>
        <w:rPr>
          <w:highlight w:val="green"/>
          <w:lang w:val="en-US"/>
        </w:rPr>
        <w:sectPr w:rsidR="00C75ACF" w:rsidSect="00C75ACF">
          <w:pgSz w:w="11906" w:h="16838"/>
          <w:pgMar w:top="1418" w:right="1701" w:bottom="1418" w:left="1701" w:header="720" w:footer="720" w:gutter="0"/>
          <w:cols w:space="720"/>
          <w:docGrid w:linePitch="272"/>
        </w:sectPr>
      </w:pPr>
      <w:r>
        <w:rPr>
          <w:noProof/>
        </w:rPr>
        <w:lastRenderedPageBreak/>
        <w:pict>
          <v:shape id="Imagen 6" o:spid="_x0000_s1078" type="#_x0000_t75" style="position:absolute;margin-left:-6.3pt;margin-top:144.3pt;width:433.75pt;height:422.3pt;z-index:251694080;visibility:visible;mso-wrap-style:square;mso-position-horizontal-relative:text;mso-position-vertical-relative:text">
            <v:imagedata r:id="rId16" o:title=""/>
          </v:shape>
        </w:pict>
      </w:r>
    </w:p>
    <w:p w:rsidR="00C75ACF" w:rsidRDefault="008C3603" w:rsidP="00DA112E">
      <w:pPr>
        <w:rPr>
          <w:highlight w:val="green"/>
          <w:lang w:val="en-US"/>
        </w:rPr>
        <w:sectPr w:rsidR="00C75ACF" w:rsidSect="00C75ACF">
          <w:pgSz w:w="11906" w:h="16838"/>
          <w:pgMar w:top="1418" w:right="1701" w:bottom="1418" w:left="1701" w:header="720" w:footer="720" w:gutter="0"/>
          <w:cols w:space="720"/>
          <w:docGrid w:linePitch="272"/>
        </w:sectPr>
      </w:pPr>
      <w:r>
        <w:rPr>
          <w:noProof/>
        </w:rPr>
        <w:lastRenderedPageBreak/>
        <w:pict>
          <v:shape id="Imagen 7" o:spid="_x0000_s1079" type="#_x0000_t75" style="position:absolute;margin-left:-13.05pt;margin-top:7.05pt;width:461.7pt;height:617.3pt;z-index:251696128;visibility:visible;mso-wrap-style:square;mso-position-horizontal-relative:text;mso-position-vertical-relative:text">
            <v:imagedata r:id="rId17" o:title=""/>
          </v:shape>
        </w:pict>
      </w:r>
    </w:p>
    <w:p w:rsidR="00C75ACF" w:rsidRDefault="008C3603" w:rsidP="00DA112E">
      <w:pPr>
        <w:rPr>
          <w:highlight w:val="green"/>
          <w:lang w:val="en-US"/>
        </w:rPr>
        <w:sectPr w:rsidR="00C75ACF" w:rsidSect="00C75ACF">
          <w:pgSz w:w="16838" w:h="11906" w:orient="landscape"/>
          <w:pgMar w:top="1701" w:right="1418" w:bottom="1701" w:left="1418" w:header="720" w:footer="720" w:gutter="0"/>
          <w:cols w:space="720"/>
          <w:docGrid w:linePitch="272"/>
        </w:sectPr>
      </w:pPr>
      <w:r>
        <w:rPr>
          <w:noProof/>
        </w:rPr>
        <w:lastRenderedPageBreak/>
        <w:pict>
          <v:shape id="Imagen 8" o:spid="_x0000_s1080" type="#_x0000_t75" style="position:absolute;margin-left:7.05pt;margin-top:-18.2pt;width:676.5pt;height:416.25pt;z-index:251698176;visibility:visible;mso-wrap-style:square;mso-position-horizontal-relative:text;mso-position-vertical-relative:text">
            <v:imagedata r:id="rId18" o:title=""/>
          </v:shape>
        </w:pict>
      </w:r>
    </w:p>
    <w:p w:rsidR="009B1C64" w:rsidRDefault="008C3603" w:rsidP="00DA112E">
      <w:pPr>
        <w:rPr>
          <w:highlight w:val="green"/>
          <w:lang w:val="en-US"/>
        </w:rPr>
        <w:sectPr w:rsidR="009B1C64" w:rsidSect="00C75ACF">
          <w:pgSz w:w="16838" w:h="11906" w:orient="landscape"/>
          <w:pgMar w:top="1701" w:right="1418" w:bottom="1701" w:left="1418" w:header="720" w:footer="720" w:gutter="0"/>
          <w:cols w:space="720"/>
          <w:docGrid w:linePitch="272"/>
        </w:sectPr>
      </w:pPr>
      <w:r>
        <w:rPr>
          <w:noProof/>
        </w:rPr>
        <w:lastRenderedPageBreak/>
        <w:pict>
          <v:shape id="Imagen 9" o:spid="_x0000_s1081" type="#_x0000_t75" style="position:absolute;margin-left:-12.45pt;margin-top:40.3pt;width:719.3pt;height:322.4pt;z-index:251700224;visibility:visible;mso-wrap-style:square;mso-position-horizontal-relative:text;mso-position-vertical-relative:text">
            <v:imagedata r:id="rId19"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24AFC" w:rsidRPr="007D095A" w:rsidTr="00124AFC">
        <w:trPr>
          <w:trHeight w:val="1261"/>
        </w:trPr>
        <w:tc>
          <w:tcPr>
            <w:tcW w:w="4231" w:type="pct"/>
            <w:shd w:val="clear" w:color="auto" w:fill="99CCFF"/>
            <w:vAlign w:val="center"/>
          </w:tcPr>
          <w:p w:rsidR="00124AFC" w:rsidRPr="00EB7062" w:rsidRDefault="00124AFC" w:rsidP="00124AFC">
            <w:pPr>
              <w:jc w:val="center"/>
              <w:rPr>
                <w:rFonts w:cs="Arial"/>
                <w:b/>
                <w:bCs/>
                <w:sz w:val="22"/>
                <w:szCs w:val="22"/>
              </w:rPr>
            </w:pPr>
            <w:r w:rsidRPr="00EB7062">
              <w:rPr>
                <w:rFonts w:cs="Arial"/>
                <w:b/>
                <w:bCs/>
                <w:sz w:val="22"/>
                <w:szCs w:val="22"/>
              </w:rPr>
              <w:lastRenderedPageBreak/>
              <w:t>PRESUPUESTO GENERAL DEL CABILDO INSULAR DE TENERIFE</w:t>
            </w:r>
            <w:r w:rsidRPr="00EB7062">
              <w:rPr>
                <w:rFonts w:cs="Arial"/>
                <w:b/>
                <w:bCs/>
                <w:sz w:val="22"/>
                <w:szCs w:val="22"/>
              </w:rPr>
              <w:br/>
              <w:t>PROGRAMA DE ACTUACIÓN, INVERSIONES Y FINANCIACIÓN</w:t>
            </w:r>
          </w:p>
          <w:p w:rsidR="00124AFC" w:rsidRPr="00EB7062" w:rsidRDefault="00124AFC" w:rsidP="00124AFC">
            <w:pPr>
              <w:jc w:val="center"/>
              <w:rPr>
                <w:sz w:val="22"/>
                <w:szCs w:val="22"/>
              </w:rPr>
            </w:pPr>
          </w:p>
        </w:tc>
        <w:tc>
          <w:tcPr>
            <w:tcW w:w="769" w:type="pct"/>
            <w:vMerge w:val="restart"/>
            <w:shd w:val="clear" w:color="auto" w:fill="99CCFF"/>
            <w:vAlign w:val="center"/>
          </w:tcPr>
          <w:p w:rsidR="00124AFC" w:rsidRPr="00EB7062" w:rsidRDefault="00124AFC" w:rsidP="00124AFC">
            <w:pPr>
              <w:jc w:val="center"/>
              <w:rPr>
                <w:rFonts w:cs="Arial"/>
                <w:b/>
                <w:bCs/>
                <w:color w:val="000000"/>
                <w:sz w:val="22"/>
                <w:szCs w:val="22"/>
              </w:rPr>
            </w:pPr>
            <w:r>
              <w:rPr>
                <w:rFonts w:cs="Arial"/>
                <w:b/>
                <w:bCs/>
                <w:color w:val="000000"/>
                <w:sz w:val="22"/>
                <w:szCs w:val="22"/>
              </w:rPr>
              <w:t>2016</w:t>
            </w:r>
          </w:p>
        </w:tc>
      </w:tr>
      <w:tr w:rsidR="00124AFC" w:rsidRPr="007D095A" w:rsidTr="00124AFC">
        <w:trPr>
          <w:trHeight w:val="428"/>
        </w:trPr>
        <w:tc>
          <w:tcPr>
            <w:tcW w:w="4231" w:type="pct"/>
            <w:shd w:val="clear" w:color="auto" w:fill="99CCFF"/>
            <w:vAlign w:val="center"/>
          </w:tcPr>
          <w:p w:rsidR="00124AFC" w:rsidRPr="00EB7062" w:rsidRDefault="00124AFC" w:rsidP="00182A18">
            <w:pPr>
              <w:rPr>
                <w:rFonts w:cs="Arial"/>
                <w:b/>
                <w:sz w:val="22"/>
                <w:szCs w:val="22"/>
              </w:rPr>
            </w:pPr>
            <w:r w:rsidRPr="00EB7062">
              <w:rPr>
                <w:rFonts w:cs="Arial"/>
                <w:b/>
                <w:sz w:val="22"/>
                <w:szCs w:val="22"/>
              </w:rPr>
              <w:t xml:space="preserve">ENTIDAD: </w:t>
            </w:r>
            <w:r w:rsidR="00FE25D4">
              <w:rPr>
                <w:rFonts w:cs="Arial"/>
                <w:b/>
                <w:sz w:val="22"/>
                <w:szCs w:val="22"/>
              </w:rPr>
              <w:t xml:space="preserve">CANALINK </w:t>
            </w:r>
            <w:r w:rsidR="00182A18">
              <w:rPr>
                <w:rFonts w:cs="Arial"/>
                <w:b/>
                <w:sz w:val="22"/>
                <w:szCs w:val="22"/>
              </w:rPr>
              <w:t>AFRICA</w:t>
            </w:r>
            <w:r w:rsidR="00FE25D4">
              <w:rPr>
                <w:rFonts w:cs="Arial"/>
                <w:b/>
                <w:sz w:val="22"/>
                <w:szCs w:val="22"/>
              </w:rPr>
              <w:t xml:space="preserve"> S.L.</w:t>
            </w:r>
          </w:p>
        </w:tc>
        <w:tc>
          <w:tcPr>
            <w:tcW w:w="769" w:type="pct"/>
            <w:vMerge/>
            <w:shd w:val="clear" w:color="auto" w:fill="99CCFF"/>
            <w:vAlign w:val="center"/>
          </w:tcPr>
          <w:p w:rsidR="00124AFC" w:rsidRPr="00EB7062" w:rsidRDefault="00124AFC" w:rsidP="00124AFC">
            <w:pPr>
              <w:ind w:firstLine="33"/>
              <w:jc w:val="center"/>
              <w:rPr>
                <w:rFonts w:cs="Arial"/>
                <w:b/>
                <w:bCs/>
                <w:color w:val="000000"/>
                <w:sz w:val="22"/>
                <w:szCs w:val="22"/>
              </w:rPr>
            </w:pPr>
          </w:p>
        </w:tc>
      </w:tr>
      <w:tr w:rsidR="00124AFC" w:rsidTr="00124AFC">
        <w:trPr>
          <w:trHeight w:val="703"/>
        </w:trPr>
        <w:tc>
          <w:tcPr>
            <w:tcW w:w="5000" w:type="pct"/>
            <w:gridSpan w:val="2"/>
            <w:vAlign w:val="center"/>
          </w:tcPr>
          <w:p w:rsidR="00124AFC" w:rsidRPr="00EB7062" w:rsidRDefault="00124AFC" w:rsidP="00124AFC">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Pr>
                <w:rFonts w:cs="Arial"/>
                <w:b/>
                <w:sz w:val="22"/>
                <w:szCs w:val="22"/>
              </w:rPr>
              <w:t>6</w:t>
            </w:r>
          </w:p>
        </w:tc>
      </w:tr>
      <w:tr w:rsidR="00124AFC" w:rsidRPr="001323D6" w:rsidTr="00124AFC">
        <w:trPr>
          <w:trHeight w:val="8444"/>
        </w:trPr>
        <w:tc>
          <w:tcPr>
            <w:tcW w:w="5000" w:type="pct"/>
            <w:gridSpan w:val="2"/>
          </w:tcPr>
          <w:p w:rsidR="00124AFC" w:rsidRPr="001323D6" w:rsidRDefault="00124AFC" w:rsidP="00FE25D4">
            <w:pPr>
              <w:jc w:val="both"/>
              <w:rPr>
                <w:rFonts w:cs="Arial"/>
              </w:rPr>
            </w:pPr>
          </w:p>
          <w:p w:rsidR="00182A18" w:rsidRDefault="00182A18" w:rsidP="00182A18">
            <w:pPr>
              <w:rPr>
                <w:rFonts w:ascii="Arial" w:hAnsi="Arial" w:cs="Arial"/>
              </w:rPr>
            </w:pPr>
            <w:r>
              <w:rPr>
                <w:rFonts w:ascii="Arial" w:hAnsi="Arial" w:cs="Arial"/>
                <w:b/>
              </w:rPr>
              <w:t>A) OBJETIVOS ESTRATEGICOS</w:t>
            </w:r>
          </w:p>
          <w:p w:rsidR="00182A18" w:rsidRDefault="00182A18" w:rsidP="00182A18">
            <w:pPr>
              <w:rPr>
                <w:rFonts w:ascii="Arial" w:hAnsi="Arial" w:cs="Arial"/>
              </w:rPr>
            </w:pPr>
          </w:p>
          <w:p w:rsidR="00182A18"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El desarrollar y fortalecer las comunicaciones internacionales de Tenerife, a través de su nodo neutro D-ALiX, hacia el continente Africano. Siempre alineados con los objetivos de Canarias Submarine Link (Canalink).</w:t>
            </w:r>
          </w:p>
          <w:p w:rsidR="00182A18" w:rsidRPr="00B45807"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Explorar nuevas rutas y sistemas con África </w:t>
            </w:r>
            <w:r w:rsidRPr="00B45807">
              <w:rPr>
                <w:rFonts w:ascii="Arial" w:hAnsi="Arial" w:cs="Arial"/>
              </w:rPr>
              <w:t>fortalecer el objetivo anterior y provocar un efecto atractor sobre compañías extranjeras.</w:t>
            </w:r>
          </w:p>
          <w:p w:rsidR="00182A18" w:rsidRDefault="00182A18" w:rsidP="00182A18">
            <w:pPr>
              <w:jc w:val="both"/>
              <w:rPr>
                <w:rFonts w:ascii="Arial" w:hAnsi="Arial" w:cs="Arial"/>
              </w:rPr>
            </w:pPr>
          </w:p>
          <w:p w:rsidR="00182A18" w:rsidRDefault="00182A18" w:rsidP="00182A18">
            <w:pPr>
              <w:rPr>
                <w:rFonts w:ascii="Arial" w:hAnsi="Arial" w:cs="Arial"/>
              </w:rPr>
            </w:pPr>
          </w:p>
          <w:p w:rsidR="00182A18" w:rsidRDefault="00182A18" w:rsidP="00182A18">
            <w:pPr>
              <w:rPr>
                <w:rFonts w:ascii="Arial" w:hAnsi="Arial" w:cs="Arial"/>
                <w:b/>
              </w:rPr>
            </w:pPr>
            <w:r>
              <w:rPr>
                <w:rFonts w:ascii="Arial" w:hAnsi="Arial" w:cs="Arial"/>
                <w:b/>
              </w:rPr>
              <w:t>B) OBJETIVOS Y ACCIONES CONCRETAS A DESARROLLAR EN EL AÑO</w:t>
            </w:r>
          </w:p>
          <w:p w:rsidR="00182A18" w:rsidRDefault="00182A18" w:rsidP="00182A18">
            <w:pPr>
              <w:rPr>
                <w:rFonts w:ascii="Arial" w:hAnsi="Arial" w:cs="Arial"/>
              </w:rPr>
            </w:pPr>
            <w:r>
              <w:rPr>
                <w:rFonts w:ascii="Arial" w:hAnsi="Arial" w:cs="Arial"/>
                <w:b/>
              </w:rPr>
              <w:t>ACCIONES CUYO BENEFICIARIO SEA UNA ENTIDAD PARTICIPADA DEL CABILDO (INDICANDO A QUE GRUPO DE FUNCIÓN PERTENECE, EN SU CASO).</w:t>
            </w:r>
          </w:p>
          <w:p w:rsidR="00182A18" w:rsidRDefault="00182A18" w:rsidP="00182A18">
            <w:pPr>
              <w:rPr>
                <w:rFonts w:ascii="Arial" w:hAnsi="Arial" w:cs="Arial"/>
              </w:rPr>
            </w:pPr>
            <w:r>
              <w:rPr>
                <w:rFonts w:ascii="Arial" w:hAnsi="Arial" w:cs="Arial"/>
              </w:rPr>
              <w:br/>
            </w:r>
          </w:p>
          <w:p w:rsidR="00182A18"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Explotar la estación de cable submarino internacional en D-ALiX (centro de datos neutral)</w:t>
            </w:r>
          </w:p>
          <w:p w:rsidR="00182A18"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Comercializar el modelo de explotación del sistema ACE y permitir el acceso directo a los operadores nacionales y locales a capacidad de banda ancha hacia el continente africano. </w:t>
            </w:r>
          </w:p>
          <w:p w:rsidR="00182A18"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Desagregar tráfico internacional proveniente de África en Tenerife (D-ALiX) que fomente el desarrollo de nuevas oportunidades de negocio y fortalezca al sistema Canalink. </w:t>
            </w:r>
          </w:p>
          <w:p w:rsidR="00182A18" w:rsidRDefault="00182A18" w:rsidP="00182A18">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Estudiar y establecer alianzas y convenios de colaboración con operadores internacionales cuyos intereses puedan converger con Canalink Africa en cuanto a las conexiones Europa –África. </w:t>
            </w:r>
          </w:p>
          <w:p w:rsidR="00124AFC" w:rsidRPr="00144B6A" w:rsidRDefault="00124AFC" w:rsidP="00124AFC">
            <w:pPr>
              <w:rPr>
                <w:rFonts w:cs="Arial"/>
                <w:b/>
              </w:rPr>
            </w:pPr>
          </w:p>
        </w:tc>
      </w:tr>
    </w:tbl>
    <w:p w:rsidR="009F5E51" w:rsidRPr="00124AFC" w:rsidRDefault="009F5E51" w:rsidP="00DA112E">
      <w:pPr>
        <w:rPr>
          <w:highlight w:val="green"/>
        </w:rPr>
      </w:pPr>
    </w:p>
    <w:sectPr w:rsidR="009F5E51" w:rsidRPr="00124AFC"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7D" w:rsidRDefault="0025557D" w:rsidP="004D60DF">
      <w:r>
        <w:separator/>
      </w:r>
    </w:p>
  </w:endnote>
  <w:endnote w:type="continuationSeparator" w:id="0">
    <w:p w:rsidR="0025557D" w:rsidRDefault="0025557D"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7D" w:rsidRPr="008B7A42" w:rsidRDefault="0025557D" w:rsidP="0068133D">
    <w:pPr>
      <w:pStyle w:val="Piedepgina"/>
      <w:jc w:val="center"/>
      <w:rPr>
        <w:rFonts w:ascii="Arial" w:hAnsi="Arial" w:cs="Arial"/>
      </w:rPr>
    </w:pPr>
    <w:r w:rsidRPr="008B7A42">
      <w:rPr>
        <w:rFonts w:ascii="Arial" w:hAnsi="Arial" w:cs="Arial"/>
      </w:rPr>
      <w:t>AIET - Presupuesto de Actuaciones, Inversiones y Financiación 2013</w:t>
    </w:r>
  </w:p>
  <w:p w:rsidR="0025557D" w:rsidRPr="008B7A42" w:rsidRDefault="0025557D"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7D" w:rsidRPr="00C75ACF" w:rsidRDefault="0025557D" w:rsidP="002F40E3">
    <w:pPr>
      <w:pStyle w:val="Piedepgina"/>
      <w:pBdr>
        <w:top w:val="single" w:sz="2" w:space="0" w:color="auto"/>
      </w:pBdr>
      <w:jc w:val="center"/>
      <w:rPr>
        <w:rFonts w:ascii="Arial" w:hAnsi="Arial" w:cs="Arial"/>
      </w:rPr>
    </w:pPr>
    <w:r w:rsidRPr="00C75ACF">
      <w:rPr>
        <w:rFonts w:ascii="Arial" w:hAnsi="Arial" w:cs="Arial"/>
      </w:rPr>
      <w:t xml:space="preserve">Canalink </w:t>
    </w:r>
    <w:r>
      <w:rPr>
        <w:rFonts w:ascii="Arial" w:hAnsi="Arial" w:cs="Arial"/>
      </w:rPr>
      <w:t>Africa</w:t>
    </w:r>
    <w:r w:rsidRPr="00C75ACF">
      <w:rPr>
        <w:rFonts w:ascii="Arial" w:hAnsi="Arial" w:cs="Arial"/>
      </w:rPr>
      <w:t xml:space="preserve"> S.L.</w:t>
    </w:r>
  </w:p>
  <w:p w:rsidR="0025557D" w:rsidRPr="004D60DF" w:rsidRDefault="0025557D"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7D" w:rsidRPr="00FE25D4" w:rsidRDefault="0025557D" w:rsidP="00053D69">
    <w:pPr>
      <w:pStyle w:val="Piedepgina"/>
      <w:pBdr>
        <w:top w:val="single" w:sz="2" w:space="0" w:color="auto"/>
      </w:pBdr>
      <w:jc w:val="center"/>
      <w:rPr>
        <w:rFonts w:ascii="Arial" w:hAnsi="Arial" w:cs="Arial"/>
      </w:rPr>
    </w:pPr>
    <w:r w:rsidRPr="00FE25D4">
      <w:rPr>
        <w:rFonts w:ascii="Arial" w:hAnsi="Arial" w:cs="Arial"/>
      </w:rPr>
      <w:t xml:space="preserve">Canalink </w:t>
    </w:r>
    <w:r>
      <w:rPr>
        <w:rFonts w:ascii="Arial" w:hAnsi="Arial" w:cs="Arial"/>
      </w:rPr>
      <w:t>Africa</w:t>
    </w:r>
    <w:r w:rsidRPr="00FE25D4">
      <w:rPr>
        <w:rFonts w:ascii="Arial" w:hAnsi="Arial" w:cs="Arial"/>
      </w:rPr>
      <w:t xml:space="preserve"> S.L.</w:t>
    </w:r>
  </w:p>
  <w:p w:rsidR="0025557D" w:rsidRPr="004D60DF" w:rsidRDefault="0025557D"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5F424F">
      <w:rPr>
        <w:rFonts w:ascii="Arial" w:hAnsi="Arial" w:cs="Arial"/>
        <w:noProof/>
      </w:rPr>
      <w:t>10</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7D" w:rsidRDefault="0025557D" w:rsidP="004D60DF">
      <w:r>
        <w:separator/>
      </w:r>
    </w:p>
  </w:footnote>
  <w:footnote w:type="continuationSeparator" w:id="0">
    <w:p w:rsidR="0025557D" w:rsidRDefault="0025557D"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8">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4"/>
  </w:num>
  <w:num w:numId="7">
    <w:abstractNumId w:val="6"/>
  </w:num>
  <w:num w:numId="8">
    <w:abstractNumId w:val="8"/>
  </w:num>
  <w:num w:numId="9">
    <w:abstractNumId w:val="9"/>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D3A6F"/>
    <w:rsid w:val="000F3AAF"/>
    <w:rsid w:val="00111A27"/>
    <w:rsid w:val="00124AFC"/>
    <w:rsid w:val="001266BC"/>
    <w:rsid w:val="001323D6"/>
    <w:rsid w:val="0013588F"/>
    <w:rsid w:val="00151395"/>
    <w:rsid w:val="00182A18"/>
    <w:rsid w:val="00186584"/>
    <w:rsid w:val="00187EDF"/>
    <w:rsid w:val="001A6B4F"/>
    <w:rsid w:val="001A7BB2"/>
    <w:rsid w:val="001B7998"/>
    <w:rsid w:val="001C4EBC"/>
    <w:rsid w:val="0021316D"/>
    <w:rsid w:val="00216D2F"/>
    <w:rsid w:val="002307E1"/>
    <w:rsid w:val="002331D2"/>
    <w:rsid w:val="00245CD4"/>
    <w:rsid w:val="0025557D"/>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6F36"/>
    <w:rsid w:val="005476C6"/>
    <w:rsid w:val="0055052A"/>
    <w:rsid w:val="0056078A"/>
    <w:rsid w:val="00571225"/>
    <w:rsid w:val="00594BE6"/>
    <w:rsid w:val="005A20C8"/>
    <w:rsid w:val="005A6066"/>
    <w:rsid w:val="005F424F"/>
    <w:rsid w:val="00642DC9"/>
    <w:rsid w:val="00667778"/>
    <w:rsid w:val="0068133D"/>
    <w:rsid w:val="006D2087"/>
    <w:rsid w:val="006E6301"/>
    <w:rsid w:val="00746727"/>
    <w:rsid w:val="007912DB"/>
    <w:rsid w:val="007A454A"/>
    <w:rsid w:val="007B4B15"/>
    <w:rsid w:val="007D095A"/>
    <w:rsid w:val="007F5D69"/>
    <w:rsid w:val="00823B8B"/>
    <w:rsid w:val="00827051"/>
    <w:rsid w:val="00835D94"/>
    <w:rsid w:val="00874B1A"/>
    <w:rsid w:val="00885989"/>
    <w:rsid w:val="00890645"/>
    <w:rsid w:val="008A178C"/>
    <w:rsid w:val="008A2726"/>
    <w:rsid w:val="008A393B"/>
    <w:rsid w:val="008B44C4"/>
    <w:rsid w:val="008B7A42"/>
    <w:rsid w:val="008C0245"/>
    <w:rsid w:val="008C16B4"/>
    <w:rsid w:val="008C2041"/>
    <w:rsid w:val="008C3603"/>
    <w:rsid w:val="008F0AD6"/>
    <w:rsid w:val="0094310B"/>
    <w:rsid w:val="009B1C64"/>
    <w:rsid w:val="009E479E"/>
    <w:rsid w:val="009E7FD0"/>
    <w:rsid w:val="009F5E51"/>
    <w:rsid w:val="00A03A1A"/>
    <w:rsid w:val="00A27BA1"/>
    <w:rsid w:val="00A35883"/>
    <w:rsid w:val="00A87A0C"/>
    <w:rsid w:val="00A94B51"/>
    <w:rsid w:val="00AA0866"/>
    <w:rsid w:val="00AB659E"/>
    <w:rsid w:val="00AE0403"/>
    <w:rsid w:val="00B42F49"/>
    <w:rsid w:val="00B620BC"/>
    <w:rsid w:val="00BA19B2"/>
    <w:rsid w:val="00BB2125"/>
    <w:rsid w:val="00C1135B"/>
    <w:rsid w:val="00C14A19"/>
    <w:rsid w:val="00C25CBF"/>
    <w:rsid w:val="00C514F8"/>
    <w:rsid w:val="00C75ACF"/>
    <w:rsid w:val="00CA7231"/>
    <w:rsid w:val="00CB2709"/>
    <w:rsid w:val="00CC4AD5"/>
    <w:rsid w:val="00CC5782"/>
    <w:rsid w:val="00CE104E"/>
    <w:rsid w:val="00D135A1"/>
    <w:rsid w:val="00D30C0F"/>
    <w:rsid w:val="00D41EC1"/>
    <w:rsid w:val="00D55B75"/>
    <w:rsid w:val="00DA112E"/>
    <w:rsid w:val="00DB332C"/>
    <w:rsid w:val="00DC5106"/>
    <w:rsid w:val="00DD438B"/>
    <w:rsid w:val="00DD4D5D"/>
    <w:rsid w:val="00DE3840"/>
    <w:rsid w:val="00E640B6"/>
    <w:rsid w:val="00EB32EB"/>
    <w:rsid w:val="00EB7062"/>
    <w:rsid w:val="00ED5B6F"/>
    <w:rsid w:val="00EF1085"/>
    <w:rsid w:val="00F00C7A"/>
    <w:rsid w:val="00F01AEA"/>
    <w:rsid w:val="00F3376F"/>
    <w:rsid w:val="00F57B27"/>
    <w:rsid w:val="00F6727D"/>
    <w:rsid w:val="00F702DF"/>
    <w:rsid w:val="00F81BDE"/>
    <w:rsid w:val="00F90517"/>
    <w:rsid w:val="00F916BB"/>
    <w:rsid w:val="00FB6AF1"/>
    <w:rsid w:val="00FC5028"/>
    <w:rsid w:val="00FC6E51"/>
    <w:rsid w:val="00FE25D4"/>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BB31-C9EF-4170-8352-AE7650EF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2</cp:revision>
  <cp:lastPrinted>2015-11-17T15:23:00Z</cp:lastPrinted>
  <dcterms:created xsi:type="dcterms:W3CDTF">2015-12-03T13:53:00Z</dcterms:created>
  <dcterms:modified xsi:type="dcterms:W3CDTF">2015-12-03T13:53:00Z</dcterms:modified>
</cp:coreProperties>
</file>