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79" w:rsidRDefault="00A0248A" w:rsidP="00766700">
      <w:pPr>
        <w:rPr>
          <w:lang w:val="es-ES_tradnl"/>
        </w:rPr>
      </w:pPr>
      <w:r>
        <w:rPr>
          <w:noProof/>
        </w:rPr>
        <w:pict>
          <v:rect id="_x0000_s1027" style="position:absolute;margin-left:-39.95pt;margin-top:2.6pt;width:498pt;height:643.5pt;z-index:251649024" o:allowincell="f" filled="f" strokeweight="5.75pt"/>
        </w:pict>
      </w:r>
    </w:p>
    <w:p w:rsidR="00E06979" w:rsidRDefault="00E06979" w:rsidP="00766700">
      <w:pPr>
        <w:rPr>
          <w:lang w:val="es-ES_tradnl"/>
        </w:rPr>
      </w:pPr>
    </w:p>
    <w:p w:rsidR="00E06979" w:rsidRDefault="00E06979" w:rsidP="00766700">
      <w:pPr>
        <w:rPr>
          <w:lang w:val="es-ES_tradnl"/>
        </w:rPr>
      </w:pPr>
    </w:p>
    <w:p w:rsidR="00E06979" w:rsidRDefault="00E06979" w:rsidP="00766700">
      <w:pPr>
        <w:rPr>
          <w:lang w:val="es-ES_tradnl"/>
        </w:rPr>
      </w:pPr>
    </w:p>
    <w:p w:rsidR="00E06979" w:rsidRDefault="00E06979" w:rsidP="00766700">
      <w:pPr>
        <w:rPr>
          <w:lang w:val="es-ES_tradnl"/>
        </w:rPr>
      </w:pPr>
    </w:p>
    <w:p w:rsidR="00E06979" w:rsidRDefault="00A0248A" w:rsidP="00766700">
      <w:pPr>
        <w:rPr>
          <w:lang w:val="es-ES_tradnl"/>
        </w:rPr>
      </w:pPr>
      <w:r>
        <w:rPr>
          <w:noProof/>
        </w:rPr>
        <w:pict>
          <v:shapetype id="_x0000_t202" coordsize="21600,21600" o:spt="202" path="m,l,21600r21600,l21600,xe">
            <v:stroke joinstyle="miter"/>
            <v:path gradientshapeok="t" o:connecttype="rect"/>
          </v:shapetype>
          <v:shape id="_x0000_s1028" type="#_x0000_t202" style="position:absolute;margin-left:-27pt;margin-top:-.4pt;width:459pt;height:251.35pt;z-index:251650048" o:allowincell="f" filled="f" stroked="f">
            <v:textbox style="mso-next-textbox:#_x0000_s1028">
              <w:txbxContent>
                <w:p w:rsidR="00F01B18" w:rsidRDefault="00F01B18" w:rsidP="00766700">
                  <w:pPr>
                    <w:jc w:val="right"/>
                    <w:rPr>
                      <w:rFonts w:ascii="Arial" w:hAnsi="Arial"/>
                      <w:b/>
                      <w:sz w:val="48"/>
                    </w:rPr>
                  </w:pPr>
                </w:p>
                <w:p w:rsidR="00F01B18" w:rsidRDefault="00F01B18" w:rsidP="00766700">
                  <w:pPr>
                    <w:jc w:val="center"/>
                    <w:rPr>
                      <w:rFonts w:ascii="Arial" w:hAnsi="Arial"/>
                      <w:b/>
                      <w:sz w:val="48"/>
                    </w:rPr>
                  </w:pPr>
                </w:p>
                <w:p w:rsidR="00F01B18" w:rsidRDefault="00F01B18" w:rsidP="00766700">
                  <w:pPr>
                    <w:jc w:val="center"/>
                    <w:rPr>
                      <w:rFonts w:ascii="Arial" w:hAnsi="Arial"/>
                      <w:b/>
                      <w:sz w:val="48"/>
                    </w:rPr>
                  </w:pPr>
                </w:p>
                <w:p w:rsidR="00F01B18" w:rsidRDefault="00F01B18" w:rsidP="00766700">
                  <w:pPr>
                    <w:pStyle w:val="Ttulo1"/>
                    <w:jc w:val="center"/>
                    <w:rPr>
                      <w:rFonts w:ascii="Arial" w:hAnsi="Arial"/>
                      <w:sz w:val="48"/>
                    </w:rPr>
                  </w:pPr>
                  <w:r>
                    <w:rPr>
                      <w:rFonts w:ascii="Arial" w:hAnsi="Arial"/>
                      <w:sz w:val="48"/>
                    </w:rPr>
                    <w:t xml:space="preserve">CUENTAS </w:t>
                  </w:r>
                </w:p>
                <w:p w:rsidR="00F01B18" w:rsidRDefault="00F01B18" w:rsidP="00766700">
                  <w:pPr>
                    <w:pStyle w:val="Ttulo1"/>
                    <w:jc w:val="center"/>
                    <w:rPr>
                      <w:rFonts w:ascii="Arial" w:hAnsi="Arial"/>
                      <w:sz w:val="48"/>
                    </w:rPr>
                  </w:pPr>
                  <w:r>
                    <w:rPr>
                      <w:rFonts w:ascii="Arial" w:hAnsi="Arial"/>
                      <w:sz w:val="48"/>
                    </w:rPr>
                    <w:t>ANUALES</w:t>
                  </w:r>
                </w:p>
                <w:p w:rsidR="00F01B18" w:rsidRPr="00606E37" w:rsidRDefault="00F01B18" w:rsidP="00606E37">
                  <w:pPr>
                    <w:pStyle w:val="Ttulo1"/>
                    <w:jc w:val="center"/>
                    <w:rPr>
                      <w:rFonts w:ascii="Arial" w:hAnsi="Arial"/>
                      <w:sz w:val="48"/>
                    </w:rPr>
                  </w:pPr>
                  <w:r>
                    <w:rPr>
                      <w:rFonts w:ascii="Arial" w:hAnsi="Arial"/>
                      <w:sz w:val="48"/>
                    </w:rPr>
                    <w:t>2016</w:t>
                  </w:r>
                </w:p>
                <w:p w:rsidR="00F01B18" w:rsidRPr="00606E37" w:rsidRDefault="00F01B18" w:rsidP="00606E37"/>
                <w:p w:rsidR="00F01B18" w:rsidRDefault="00F01B18" w:rsidP="00766700"/>
                <w:p w:rsidR="00F01B18" w:rsidRDefault="00F01B18" w:rsidP="00766700">
                  <w:pPr>
                    <w:pStyle w:val="Textoindependiente"/>
                    <w:jc w:val="center"/>
                    <w:rPr>
                      <w:rFonts w:ascii="Bodoni Poster" w:eastAsia="Arial Unicode MS" w:hAnsi="Bodoni Poster"/>
                      <w:b w:val="0"/>
                      <w:bCs/>
                      <w:smallCaps/>
                      <w:sz w:val="44"/>
                    </w:rPr>
                  </w:pPr>
                  <w:proofErr w:type="spellStart"/>
                  <w:r>
                    <w:rPr>
                      <w:rFonts w:ascii="Bodoni Poster" w:eastAsia="Arial Unicode MS" w:hAnsi="Bodoni Poster"/>
                      <w:b w:val="0"/>
                      <w:bCs/>
                      <w:smallCaps/>
                    </w:rPr>
                    <w:t>Canalink</w:t>
                  </w:r>
                  <w:proofErr w:type="spellEnd"/>
                  <w:r>
                    <w:rPr>
                      <w:rFonts w:ascii="Bodoni Poster" w:eastAsia="Arial Unicode MS" w:hAnsi="Bodoni Poster"/>
                      <w:b w:val="0"/>
                      <w:bCs/>
                      <w:smallCaps/>
                    </w:rPr>
                    <w:t xml:space="preserve"> </w:t>
                  </w:r>
                  <w:proofErr w:type="spellStart"/>
                  <w:r>
                    <w:rPr>
                      <w:rFonts w:ascii="Bodoni Poster" w:eastAsia="Arial Unicode MS" w:hAnsi="Bodoni Poster"/>
                      <w:b w:val="0"/>
                      <w:bCs/>
                      <w:smallCaps/>
                    </w:rPr>
                    <w:t>africa</w:t>
                  </w:r>
                  <w:proofErr w:type="gramStart"/>
                  <w:r>
                    <w:rPr>
                      <w:rFonts w:ascii="Bodoni Poster" w:eastAsia="Arial Unicode MS" w:hAnsi="Bodoni Poster"/>
                      <w:b w:val="0"/>
                      <w:bCs/>
                      <w:smallCaps/>
                    </w:rPr>
                    <w:t>,SL</w:t>
                  </w:r>
                  <w:proofErr w:type="spellEnd"/>
                  <w:proofErr w:type="gramEnd"/>
                </w:p>
              </w:txbxContent>
            </v:textbox>
          </v:shape>
        </w:pict>
      </w:r>
    </w:p>
    <w:p w:rsidR="00E06979" w:rsidRPr="00C90EB3" w:rsidRDefault="00E06979" w:rsidP="00705962">
      <w:pPr>
        <w:ind w:left="-567"/>
      </w:pPr>
      <w:r>
        <w:br w:type="page"/>
      </w:r>
      <w:r w:rsidR="00342343">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699.75pt">
            <v:imagedata r:id="rId8" o:title=""/>
          </v:shape>
        </w:pict>
      </w:r>
      <w:r>
        <w:br w:type="page"/>
      </w:r>
      <w:r w:rsidR="00705962">
        <w:object w:dxaOrig="10070" w:dyaOrig="9434">
          <v:shape id="_x0000_i1066" type="#_x0000_t75" style="width:503.25pt;height:471.75pt" o:ole="">
            <v:imagedata r:id="rId9" o:title=""/>
          </v:shape>
          <o:OLEObject Type="Embed" ProgID="Excel.Sheet.12" ShapeID="_x0000_i1066" DrawAspect="Content" ObjectID="_1551714714" r:id="rId10"/>
        </w:object>
      </w:r>
    </w:p>
    <w:p w:rsidR="00412629" w:rsidRDefault="00412629" w:rsidP="00342343">
      <w:pPr>
        <w:ind w:left="-284"/>
        <w:sectPr w:rsidR="00412629">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708" w:footer="708" w:gutter="0"/>
          <w:cols w:space="708"/>
          <w:docGrid w:linePitch="360"/>
        </w:sectPr>
      </w:pPr>
    </w:p>
    <w:p w:rsidR="00E06979" w:rsidRDefault="00A0248A" w:rsidP="00C53D2A">
      <w:pPr>
        <w:rPr>
          <w:lang w:val="es-ES_tradnl"/>
        </w:rPr>
      </w:pPr>
      <w:r>
        <w:rPr>
          <w:noProof/>
        </w:rPr>
        <w:lastRenderedPageBreak/>
        <w:pict>
          <v:rect id="_x0000_s1032" style="position:absolute;margin-left:-39.95pt;margin-top:2.6pt;width:498pt;height:643.5pt;z-index:251646976" o:allowincell="f" filled="f" strokeweight="5.75pt"/>
        </w:pict>
      </w:r>
    </w:p>
    <w:p w:rsidR="00E06979" w:rsidRDefault="00E06979" w:rsidP="00C53D2A">
      <w:pPr>
        <w:rPr>
          <w:lang w:val="es-ES_tradnl"/>
        </w:rPr>
      </w:pPr>
    </w:p>
    <w:p w:rsidR="00E06979" w:rsidRDefault="00E06979" w:rsidP="00C53D2A">
      <w:pPr>
        <w:rPr>
          <w:lang w:val="es-ES_tradnl"/>
        </w:rPr>
      </w:pPr>
    </w:p>
    <w:p w:rsidR="00E06979" w:rsidRDefault="00E06979" w:rsidP="00C53D2A">
      <w:pPr>
        <w:rPr>
          <w:lang w:val="es-ES_tradnl"/>
        </w:rPr>
      </w:pPr>
    </w:p>
    <w:p w:rsidR="00E06979" w:rsidRDefault="00E06979" w:rsidP="00C53D2A">
      <w:pPr>
        <w:rPr>
          <w:lang w:val="es-ES_tradnl"/>
        </w:rPr>
      </w:pPr>
    </w:p>
    <w:p w:rsidR="00E06979" w:rsidRDefault="00A0248A" w:rsidP="00C53D2A">
      <w:pPr>
        <w:rPr>
          <w:lang w:val="es-ES_tradnl"/>
        </w:rPr>
      </w:pPr>
      <w:r>
        <w:rPr>
          <w:noProof/>
        </w:rPr>
        <w:pict>
          <v:shape id="_x0000_s1033" type="#_x0000_t202" style="position:absolute;margin-left:-27pt;margin-top:-.4pt;width:459pt;height:251.35pt;z-index:251648000" o:allowincell="f" filled="f" stroked="f">
            <v:textbox>
              <w:txbxContent>
                <w:p w:rsidR="00F01B18" w:rsidRDefault="00F01B18" w:rsidP="00C53D2A">
                  <w:pPr>
                    <w:jc w:val="right"/>
                    <w:rPr>
                      <w:rFonts w:ascii="Arial" w:hAnsi="Arial"/>
                      <w:b/>
                      <w:sz w:val="48"/>
                    </w:rPr>
                  </w:pPr>
                </w:p>
                <w:p w:rsidR="00F01B18" w:rsidRDefault="00F01B18" w:rsidP="00C53D2A">
                  <w:pPr>
                    <w:jc w:val="center"/>
                    <w:rPr>
                      <w:rFonts w:ascii="Arial" w:hAnsi="Arial"/>
                      <w:b/>
                      <w:sz w:val="48"/>
                    </w:rPr>
                  </w:pPr>
                </w:p>
                <w:p w:rsidR="00F01B18" w:rsidRDefault="00F01B18" w:rsidP="00C53D2A">
                  <w:pPr>
                    <w:jc w:val="center"/>
                    <w:rPr>
                      <w:rFonts w:ascii="Arial" w:hAnsi="Arial"/>
                      <w:b/>
                      <w:sz w:val="48"/>
                    </w:rPr>
                  </w:pPr>
                </w:p>
                <w:p w:rsidR="00F01B18" w:rsidRDefault="00F01B18" w:rsidP="00C53D2A">
                  <w:pPr>
                    <w:jc w:val="center"/>
                    <w:rPr>
                      <w:rFonts w:ascii="Arial" w:hAnsi="Arial"/>
                      <w:b/>
                      <w:sz w:val="48"/>
                    </w:rPr>
                  </w:pPr>
                  <w:r>
                    <w:rPr>
                      <w:rFonts w:ascii="Arial" w:hAnsi="Arial"/>
                      <w:b/>
                      <w:sz w:val="48"/>
                    </w:rPr>
                    <w:t>MEMORIA</w:t>
                  </w:r>
                </w:p>
                <w:p w:rsidR="00F01B18" w:rsidRDefault="00F01B18" w:rsidP="00C53D2A">
                  <w:pPr>
                    <w:pStyle w:val="Ttulo1"/>
                    <w:jc w:val="center"/>
                    <w:rPr>
                      <w:rFonts w:ascii="Arial" w:hAnsi="Arial"/>
                      <w:sz w:val="48"/>
                    </w:rPr>
                  </w:pPr>
                  <w:r>
                    <w:rPr>
                      <w:rFonts w:ascii="Arial" w:hAnsi="Arial"/>
                      <w:sz w:val="48"/>
                    </w:rPr>
                    <w:t>ABREVIADA</w:t>
                  </w:r>
                </w:p>
                <w:p w:rsidR="00F01B18" w:rsidRDefault="00F01B18" w:rsidP="00C53D2A"/>
                <w:p w:rsidR="00F01B18" w:rsidRDefault="00F01B18" w:rsidP="00362318">
                  <w:pPr>
                    <w:pStyle w:val="Ttulo1"/>
                    <w:jc w:val="center"/>
                  </w:pPr>
                  <w:r>
                    <w:t>2016</w:t>
                  </w:r>
                </w:p>
                <w:p w:rsidR="00F01B18" w:rsidRPr="00362318" w:rsidRDefault="00F01B18" w:rsidP="00362318"/>
                <w:p w:rsidR="00F01B18" w:rsidRDefault="00F01B18" w:rsidP="00C53D2A">
                  <w:pPr>
                    <w:pStyle w:val="Textoindependiente"/>
                    <w:jc w:val="center"/>
                    <w:rPr>
                      <w:rFonts w:ascii="Bodoni Poster" w:eastAsia="Arial Unicode MS" w:hAnsi="Bodoni Poster"/>
                      <w:b w:val="0"/>
                      <w:bCs/>
                      <w:smallCaps/>
                      <w:sz w:val="44"/>
                    </w:rPr>
                  </w:pPr>
                  <w:proofErr w:type="spellStart"/>
                  <w:r>
                    <w:rPr>
                      <w:rFonts w:ascii="Bodoni Poster" w:eastAsia="Arial Unicode MS" w:hAnsi="Bodoni Poster"/>
                      <w:b w:val="0"/>
                      <w:bCs/>
                      <w:smallCaps/>
                    </w:rPr>
                    <w:t>Canalink</w:t>
                  </w:r>
                  <w:proofErr w:type="spellEnd"/>
                  <w:r>
                    <w:rPr>
                      <w:rFonts w:ascii="Bodoni Poster" w:eastAsia="Arial Unicode MS" w:hAnsi="Bodoni Poster"/>
                      <w:b w:val="0"/>
                      <w:bCs/>
                      <w:smallCaps/>
                    </w:rPr>
                    <w:t xml:space="preserve"> </w:t>
                  </w:r>
                  <w:proofErr w:type="spellStart"/>
                  <w:r>
                    <w:rPr>
                      <w:rFonts w:ascii="Bodoni Poster" w:eastAsia="Arial Unicode MS" w:hAnsi="Bodoni Poster"/>
                      <w:b w:val="0"/>
                      <w:bCs/>
                      <w:smallCaps/>
                    </w:rPr>
                    <w:t>Africa</w:t>
                  </w:r>
                  <w:proofErr w:type="spellEnd"/>
                  <w:r>
                    <w:rPr>
                      <w:rFonts w:ascii="Bodoni Poster" w:eastAsia="Arial Unicode MS" w:hAnsi="Bodoni Poster"/>
                      <w:b w:val="0"/>
                      <w:bCs/>
                      <w:smallCaps/>
                    </w:rPr>
                    <w:t>, SL</w:t>
                  </w:r>
                </w:p>
              </w:txbxContent>
            </v:textbox>
          </v:shape>
        </w:pict>
      </w:r>
    </w:p>
    <w:p w:rsidR="00E06979" w:rsidRDefault="00E06979" w:rsidP="007D15E4">
      <w:pPr>
        <w:jc w:val="center"/>
        <w:rPr>
          <w:rFonts w:ascii="Arial" w:hAnsi="Arial" w:cs="Arial"/>
          <w:sz w:val="20"/>
        </w:rPr>
      </w:pPr>
      <w:r>
        <w:br w:type="page"/>
      </w:r>
    </w:p>
    <w:p w:rsidR="00E06979" w:rsidRPr="006519A5" w:rsidRDefault="00E06979" w:rsidP="00C53D2A">
      <w:pPr>
        <w:rPr>
          <w:rFonts w:ascii="Arial" w:hAnsi="Arial" w:cs="Arial"/>
          <w:b/>
          <w:sz w:val="20"/>
          <w:szCs w:val="20"/>
          <w:u w:val="single"/>
        </w:rPr>
      </w:pPr>
    </w:p>
    <w:p w:rsidR="00E06979" w:rsidRPr="00C53D2A" w:rsidRDefault="00E06979" w:rsidP="00C53D2A">
      <w:pPr>
        <w:rPr>
          <w:rFonts w:ascii="Arial" w:hAnsi="Arial" w:cs="Arial"/>
          <w:b/>
          <w:sz w:val="20"/>
          <w:szCs w:val="20"/>
        </w:rPr>
      </w:pPr>
      <w:r w:rsidRPr="006519A5">
        <w:rPr>
          <w:rFonts w:ascii="Arial" w:hAnsi="Arial" w:cs="Arial"/>
          <w:b/>
          <w:sz w:val="20"/>
          <w:szCs w:val="20"/>
        </w:rPr>
        <w:t xml:space="preserve"> </w:t>
      </w:r>
      <w:r>
        <w:rPr>
          <w:rFonts w:ascii="Arial" w:hAnsi="Arial" w:cs="Arial"/>
          <w:b/>
          <w:sz w:val="20"/>
          <w:szCs w:val="20"/>
        </w:rPr>
        <w:t xml:space="preserve">1.-  </w:t>
      </w:r>
      <w:r w:rsidRPr="00C53D2A">
        <w:rPr>
          <w:rFonts w:ascii="Arial" w:hAnsi="Arial" w:cs="Arial"/>
          <w:b/>
          <w:sz w:val="20"/>
          <w:szCs w:val="20"/>
        </w:rPr>
        <w:t>ACTIVIDAD DE LA EMPRESA</w:t>
      </w:r>
      <w:r w:rsidRPr="00C53D2A">
        <w:rPr>
          <w:rFonts w:ascii="Arial" w:hAnsi="Arial" w:cs="Arial"/>
          <w:b/>
          <w:sz w:val="20"/>
          <w:szCs w:val="20"/>
          <w:u w:val="single"/>
        </w:rPr>
        <w:t xml:space="preserve">    </w:t>
      </w:r>
      <w:r w:rsidRPr="00C53D2A">
        <w:rPr>
          <w:rFonts w:ascii="Arial" w:hAnsi="Arial" w:cs="Arial"/>
          <w:b/>
          <w:sz w:val="20"/>
          <w:szCs w:val="20"/>
        </w:rPr>
        <w:t xml:space="preserve"> </w:t>
      </w:r>
    </w:p>
    <w:p w:rsidR="00E06979" w:rsidRPr="00C53D2A" w:rsidRDefault="00E06979" w:rsidP="00C53D2A">
      <w:pPr>
        <w:rPr>
          <w:rFonts w:ascii="Arial" w:hAnsi="Arial" w:cs="Arial"/>
          <w:b/>
          <w:sz w:val="20"/>
          <w:szCs w:val="20"/>
          <w:u w:val="single"/>
        </w:rPr>
      </w:pPr>
    </w:p>
    <w:p w:rsidR="00E06979" w:rsidRDefault="00E06979" w:rsidP="008708CF">
      <w:pPr>
        <w:keepNext/>
        <w:jc w:val="both"/>
        <w:outlineLvl w:val="1"/>
        <w:rPr>
          <w:rFonts w:ascii="Arial" w:hAnsi="Arial" w:cs="Arial"/>
          <w:sz w:val="20"/>
          <w:szCs w:val="20"/>
        </w:rPr>
      </w:pPr>
      <w:r>
        <w:rPr>
          <w:rFonts w:ascii="Arial" w:hAnsi="Arial" w:cs="Arial"/>
          <w:sz w:val="20"/>
          <w:szCs w:val="20"/>
        </w:rPr>
        <w:t xml:space="preserve">La sociedad se constituyó el 15 de mayo de 2012, como sociedad limitada mediante escritura otorgada ante el notario Alfonso-Manuel </w:t>
      </w:r>
      <w:proofErr w:type="spellStart"/>
      <w:r>
        <w:rPr>
          <w:rFonts w:ascii="Arial" w:hAnsi="Arial" w:cs="Arial"/>
          <w:sz w:val="20"/>
          <w:szCs w:val="20"/>
        </w:rPr>
        <w:t>Caballé</w:t>
      </w:r>
      <w:proofErr w:type="spellEnd"/>
      <w:r>
        <w:rPr>
          <w:rFonts w:ascii="Arial" w:hAnsi="Arial" w:cs="Arial"/>
          <w:sz w:val="20"/>
          <w:szCs w:val="20"/>
        </w:rPr>
        <w:t xml:space="preserve"> Cruz, nº 741 de protocolo, inscrita inicialmente en el Registro Mercantil de S/C de Tenerife en el Tomo 3246, Folio 190, Hoja TF-50762.</w:t>
      </w:r>
    </w:p>
    <w:p w:rsidR="008708CF" w:rsidRDefault="008708CF" w:rsidP="008708CF">
      <w:pPr>
        <w:keepNext/>
        <w:jc w:val="both"/>
        <w:outlineLvl w:val="1"/>
        <w:rPr>
          <w:rFonts w:ascii="Arial" w:hAnsi="Arial" w:cs="Arial"/>
          <w:sz w:val="20"/>
          <w:szCs w:val="20"/>
        </w:rPr>
      </w:pPr>
    </w:p>
    <w:p w:rsidR="000223E7" w:rsidRDefault="000223E7" w:rsidP="000223E7">
      <w:pPr>
        <w:widowControl w:val="0"/>
        <w:autoSpaceDE w:val="0"/>
        <w:autoSpaceDN w:val="0"/>
        <w:adjustRightInd w:val="0"/>
        <w:jc w:val="both"/>
        <w:rPr>
          <w:rFonts w:ascii="Arial" w:hAnsi="Arial" w:cs="Arial"/>
          <w:sz w:val="20"/>
          <w:szCs w:val="20"/>
        </w:rPr>
      </w:pPr>
      <w:r w:rsidRPr="000223E7">
        <w:rPr>
          <w:rFonts w:ascii="Arial" w:hAnsi="Arial" w:cs="Arial"/>
          <w:sz w:val="20"/>
          <w:szCs w:val="20"/>
        </w:rPr>
        <w:t>Su domicilio social se encuentra establecido en el Polígono Industrial de Granadilla, s/n, 38600, San Isidro-Granadilla de Abona, Santa Cruz de Tenerife.</w:t>
      </w:r>
    </w:p>
    <w:p w:rsidR="000223E7" w:rsidRPr="000223E7" w:rsidRDefault="000223E7" w:rsidP="000223E7">
      <w:pPr>
        <w:widowControl w:val="0"/>
        <w:autoSpaceDE w:val="0"/>
        <w:autoSpaceDN w:val="0"/>
        <w:adjustRightInd w:val="0"/>
        <w:jc w:val="both"/>
        <w:rPr>
          <w:rFonts w:ascii="Arial" w:hAnsi="Arial" w:cs="Arial"/>
          <w:sz w:val="20"/>
          <w:szCs w:val="20"/>
        </w:rPr>
      </w:pPr>
    </w:p>
    <w:p w:rsidR="00E06979" w:rsidRPr="00C53D2A" w:rsidRDefault="00E06979" w:rsidP="008708CF">
      <w:pPr>
        <w:keepNext/>
        <w:jc w:val="both"/>
        <w:outlineLvl w:val="1"/>
        <w:rPr>
          <w:rFonts w:ascii="Arial" w:hAnsi="Arial" w:cs="Arial"/>
          <w:sz w:val="20"/>
          <w:szCs w:val="20"/>
        </w:rPr>
      </w:pPr>
      <w:r w:rsidRPr="00C53D2A">
        <w:rPr>
          <w:rFonts w:ascii="Arial" w:hAnsi="Arial" w:cs="Arial"/>
          <w:sz w:val="20"/>
          <w:szCs w:val="20"/>
        </w:rPr>
        <w:t xml:space="preserve">El objeto fundamental  de la Sociedad será la </w:t>
      </w:r>
      <w:r>
        <w:rPr>
          <w:rFonts w:ascii="Arial" w:hAnsi="Arial" w:cs="Arial"/>
          <w:sz w:val="20"/>
          <w:szCs w:val="20"/>
        </w:rPr>
        <w:t>comercialización, distribución e instalación, mantenimiento y la prestación de servicios informáticos y de telecomunicaciones.</w:t>
      </w:r>
    </w:p>
    <w:p w:rsidR="00E06979" w:rsidRDefault="00E06979" w:rsidP="00C53D2A">
      <w:pPr>
        <w:jc w:val="both"/>
        <w:rPr>
          <w:rFonts w:ascii="Arial" w:hAnsi="Arial" w:cs="Arial"/>
          <w:color w:val="FF0000"/>
          <w:sz w:val="20"/>
          <w:szCs w:val="20"/>
        </w:rPr>
      </w:pPr>
    </w:p>
    <w:p w:rsidR="008708CF" w:rsidRDefault="008708CF" w:rsidP="00C53D2A">
      <w:pPr>
        <w:jc w:val="both"/>
        <w:rPr>
          <w:rFonts w:ascii="Arial" w:hAnsi="Arial" w:cs="Arial"/>
          <w:sz w:val="20"/>
          <w:szCs w:val="20"/>
        </w:rPr>
      </w:pPr>
      <w:r w:rsidRPr="008708CF">
        <w:rPr>
          <w:rFonts w:ascii="Arial" w:hAnsi="Arial" w:cs="Arial"/>
          <w:sz w:val="20"/>
          <w:szCs w:val="20"/>
        </w:rPr>
        <w:t>La actividad actual de la empresa coincide con su objeto social.</w:t>
      </w:r>
    </w:p>
    <w:p w:rsidR="008708CF" w:rsidRDefault="008708CF" w:rsidP="00C53D2A">
      <w:pPr>
        <w:jc w:val="both"/>
        <w:rPr>
          <w:rFonts w:ascii="Arial" w:hAnsi="Arial" w:cs="Arial"/>
          <w:sz w:val="20"/>
          <w:szCs w:val="20"/>
        </w:rPr>
      </w:pPr>
    </w:p>
    <w:p w:rsidR="008708CF" w:rsidRDefault="008708CF" w:rsidP="008708CF">
      <w:pPr>
        <w:jc w:val="both"/>
        <w:rPr>
          <w:rFonts w:ascii="Arial" w:hAnsi="Arial" w:cs="Arial"/>
          <w:sz w:val="20"/>
          <w:szCs w:val="20"/>
        </w:rPr>
      </w:pPr>
      <w:r w:rsidRPr="008708CF">
        <w:rPr>
          <w:rFonts w:ascii="Arial" w:hAnsi="Arial" w:cs="Arial"/>
          <w:sz w:val="20"/>
          <w:szCs w:val="20"/>
        </w:rPr>
        <w:t>La información del grupo de sociedades en los términos previstos en el artículo 42 del Código de Comercio, es la siguiente:</w:t>
      </w:r>
    </w:p>
    <w:p w:rsidR="008708CF" w:rsidRDefault="008708CF" w:rsidP="008708CF">
      <w:pPr>
        <w:jc w:val="both"/>
        <w:rPr>
          <w:rFonts w:ascii="Arial" w:hAnsi="Arial" w:cs="Arial"/>
          <w:sz w:val="20"/>
          <w:szCs w:val="20"/>
        </w:rPr>
      </w:pPr>
    </w:p>
    <w:p w:rsidR="00864F6B" w:rsidRDefault="008708CF" w:rsidP="008708CF">
      <w:pPr>
        <w:numPr>
          <w:ilvl w:val="0"/>
          <w:numId w:val="13"/>
        </w:numPr>
        <w:jc w:val="both"/>
        <w:rPr>
          <w:rFonts w:ascii="Arial" w:hAnsi="Arial" w:cs="Arial"/>
          <w:sz w:val="20"/>
          <w:szCs w:val="20"/>
        </w:rPr>
      </w:pPr>
      <w:r w:rsidRPr="008708CF">
        <w:rPr>
          <w:rFonts w:ascii="Arial" w:hAnsi="Arial" w:cs="Arial"/>
          <w:sz w:val="20"/>
          <w:szCs w:val="20"/>
        </w:rPr>
        <w:t>Sociedad dominante: Instituto Tecnológico y de Energías Renovables, SA, con domicilio en el Polígono Industrial de Granadilla s/n, 38600 San Isidro- Granadilla de Abona, provincia de Santa Cruz de Tenerife.</w:t>
      </w:r>
      <w:r>
        <w:rPr>
          <w:rFonts w:ascii="Arial" w:hAnsi="Arial" w:cs="Arial"/>
          <w:sz w:val="20"/>
          <w:szCs w:val="20"/>
        </w:rPr>
        <w:t xml:space="preserve"> </w:t>
      </w:r>
    </w:p>
    <w:p w:rsidR="00864F6B" w:rsidRDefault="00864F6B" w:rsidP="00864F6B">
      <w:pPr>
        <w:ind w:left="360"/>
        <w:jc w:val="both"/>
        <w:rPr>
          <w:rFonts w:ascii="Arial" w:hAnsi="Arial" w:cs="Arial"/>
          <w:sz w:val="20"/>
          <w:szCs w:val="20"/>
        </w:rPr>
      </w:pPr>
    </w:p>
    <w:p w:rsidR="008708CF" w:rsidRPr="008708CF" w:rsidRDefault="008708CF" w:rsidP="00864F6B">
      <w:pPr>
        <w:ind w:left="709"/>
        <w:jc w:val="both"/>
        <w:rPr>
          <w:rFonts w:ascii="Arial" w:hAnsi="Arial" w:cs="Arial"/>
          <w:sz w:val="20"/>
          <w:szCs w:val="20"/>
        </w:rPr>
      </w:pPr>
      <w:proofErr w:type="spellStart"/>
      <w:r>
        <w:rPr>
          <w:rFonts w:ascii="Arial" w:hAnsi="Arial" w:cs="Arial"/>
          <w:sz w:val="20"/>
          <w:szCs w:val="20"/>
        </w:rPr>
        <w:t>Canalink</w:t>
      </w:r>
      <w:proofErr w:type="spellEnd"/>
      <w:r>
        <w:rPr>
          <w:rFonts w:ascii="Arial" w:hAnsi="Arial" w:cs="Arial"/>
          <w:sz w:val="20"/>
          <w:szCs w:val="20"/>
        </w:rPr>
        <w:t xml:space="preserve"> </w:t>
      </w:r>
      <w:r w:rsidR="00BD5A05">
        <w:rPr>
          <w:rFonts w:ascii="Arial" w:hAnsi="Arial" w:cs="Arial"/>
          <w:sz w:val="20"/>
          <w:szCs w:val="20"/>
        </w:rPr>
        <w:t>África</w:t>
      </w:r>
      <w:r>
        <w:rPr>
          <w:rFonts w:ascii="Arial" w:hAnsi="Arial" w:cs="Arial"/>
          <w:sz w:val="20"/>
          <w:szCs w:val="20"/>
        </w:rPr>
        <w:t xml:space="preserve"> SL</w:t>
      </w:r>
      <w:r w:rsidRPr="008708CF">
        <w:rPr>
          <w:rFonts w:ascii="Arial" w:hAnsi="Arial" w:cs="Arial"/>
          <w:sz w:val="20"/>
          <w:szCs w:val="20"/>
        </w:rPr>
        <w:t xml:space="preserve"> forma parte del perímetro de consolidación del Instituto Tecnológico y de Energías Renovables S.A., que al cierre del ejercicio poseía el </w:t>
      </w:r>
      <w:r>
        <w:rPr>
          <w:rFonts w:ascii="Arial" w:hAnsi="Arial" w:cs="Arial"/>
          <w:sz w:val="20"/>
          <w:szCs w:val="20"/>
        </w:rPr>
        <w:t>10</w:t>
      </w:r>
      <w:r w:rsidRPr="008708CF">
        <w:rPr>
          <w:rFonts w:ascii="Arial" w:hAnsi="Arial" w:cs="Arial"/>
          <w:sz w:val="20"/>
          <w:szCs w:val="20"/>
        </w:rPr>
        <w:t xml:space="preserve">0% de las participaciones. Se integra en la consolidación de esta Sociedad bajo el método de </w:t>
      </w:r>
      <w:r>
        <w:rPr>
          <w:rFonts w:ascii="Arial" w:hAnsi="Arial" w:cs="Arial"/>
          <w:sz w:val="20"/>
          <w:szCs w:val="20"/>
        </w:rPr>
        <w:t>integración global</w:t>
      </w:r>
      <w:r w:rsidRPr="008708CF">
        <w:rPr>
          <w:rFonts w:ascii="Arial" w:hAnsi="Arial" w:cs="Arial"/>
          <w:sz w:val="20"/>
          <w:szCs w:val="20"/>
        </w:rPr>
        <w:t>.</w:t>
      </w:r>
    </w:p>
    <w:p w:rsidR="008708CF" w:rsidRPr="008708CF" w:rsidRDefault="008708CF" w:rsidP="008708CF">
      <w:pPr>
        <w:jc w:val="both"/>
        <w:rPr>
          <w:rFonts w:ascii="Arial" w:hAnsi="Arial" w:cs="Arial"/>
          <w:sz w:val="20"/>
          <w:szCs w:val="20"/>
        </w:rPr>
      </w:pPr>
    </w:p>
    <w:p w:rsidR="008708CF" w:rsidRPr="008708CF" w:rsidRDefault="008708CF" w:rsidP="00C53D2A">
      <w:pPr>
        <w:jc w:val="both"/>
        <w:rPr>
          <w:rFonts w:ascii="Arial" w:hAnsi="Arial" w:cs="Arial"/>
          <w:sz w:val="20"/>
          <w:szCs w:val="20"/>
        </w:rPr>
      </w:pPr>
      <w:r w:rsidRPr="008708CF">
        <w:rPr>
          <w:rFonts w:ascii="Arial" w:hAnsi="Arial" w:cs="Arial"/>
          <w:sz w:val="20"/>
          <w:szCs w:val="20"/>
        </w:rPr>
        <w:t xml:space="preserve">La moneda funcional con la que opera la empresa es el euro. Para la formulación de los estados financieros en euros se han seguido los criterios establecidos en el Plan General Contable tal y como figura en el apartado </w:t>
      </w:r>
      <w:r w:rsidR="00F01B18">
        <w:rPr>
          <w:rFonts w:ascii="Arial" w:hAnsi="Arial" w:cs="Arial"/>
          <w:sz w:val="20"/>
          <w:szCs w:val="20"/>
        </w:rPr>
        <w:t>3</w:t>
      </w:r>
      <w:r w:rsidRPr="008708CF">
        <w:rPr>
          <w:rFonts w:ascii="Arial" w:hAnsi="Arial" w:cs="Arial"/>
          <w:sz w:val="20"/>
          <w:szCs w:val="20"/>
        </w:rPr>
        <w:t>. Normas de registro y valoración.</w:t>
      </w:r>
    </w:p>
    <w:p w:rsidR="00E06979" w:rsidRPr="00C53D2A" w:rsidRDefault="00E06979" w:rsidP="00C53D2A">
      <w:pPr>
        <w:rPr>
          <w:rFonts w:ascii="Arial" w:hAnsi="Arial" w:cs="Arial"/>
          <w:b/>
          <w:sz w:val="20"/>
          <w:szCs w:val="20"/>
          <w:u w:val="single"/>
        </w:rPr>
      </w:pPr>
    </w:p>
    <w:p w:rsidR="00E06979" w:rsidRPr="00C53D2A" w:rsidRDefault="00E06979" w:rsidP="00C53D2A">
      <w:pPr>
        <w:rPr>
          <w:rFonts w:ascii="Arial" w:hAnsi="Arial" w:cs="Arial"/>
          <w:b/>
          <w:sz w:val="20"/>
          <w:szCs w:val="20"/>
        </w:rPr>
      </w:pPr>
      <w:r w:rsidRPr="00C53D2A">
        <w:rPr>
          <w:rFonts w:ascii="Arial" w:hAnsi="Arial" w:cs="Arial"/>
          <w:b/>
          <w:sz w:val="20"/>
          <w:szCs w:val="20"/>
        </w:rPr>
        <w:t>2.-   BASES DE PRESENTACIÓN DE LAS CUENTAS ANUALES</w:t>
      </w:r>
    </w:p>
    <w:p w:rsidR="00E06979" w:rsidRPr="00C53D2A" w:rsidRDefault="00E06979" w:rsidP="00C53D2A">
      <w:pPr>
        <w:rPr>
          <w:rFonts w:ascii="Arial" w:hAnsi="Arial" w:cs="Arial"/>
          <w:b/>
          <w:sz w:val="20"/>
          <w:szCs w:val="20"/>
        </w:rPr>
      </w:pPr>
    </w:p>
    <w:p w:rsidR="008708CF" w:rsidRPr="008708CF" w:rsidRDefault="008708CF" w:rsidP="008708CF">
      <w:pPr>
        <w:jc w:val="both"/>
        <w:rPr>
          <w:rFonts w:ascii="Arial" w:hAnsi="Arial" w:cs="Arial"/>
          <w:sz w:val="20"/>
          <w:szCs w:val="20"/>
          <w:u w:val="single"/>
        </w:rPr>
      </w:pPr>
      <w:r w:rsidRPr="008708CF">
        <w:rPr>
          <w:rFonts w:ascii="Arial" w:hAnsi="Arial" w:cs="Arial"/>
          <w:sz w:val="20"/>
          <w:szCs w:val="20"/>
          <w:u w:val="single"/>
        </w:rPr>
        <w:t>2.1 Imagen fiel</w:t>
      </w:r>
    </w:p>
    <w:p w:rsidR="00E06979" w:rsidRPr="00C53D2A" w:rsidRDefault="00E06979" w:rsidP="00C53D2A">
      <w:pPr>
        <w:jc w:val="both"/>
        <w:rPr>
          <w:rFonts w:ascii="Arial" w:hAnsi="Arial" w:cs="Arial"/>
          <w:b/>
          <w:sz w:val="20"/>
          <w:szCs w:val="20"/>
        </w:rPr>
      </w:pPr>
    </w:p>
    <w:p w:rsidR="00E06979" w:rsidRPr="00C53D2A" w:rsidRDefault="00E06979" w:rsidP="008C7A40">
      <w:pPr>
        <w:keepNext/>
        <w:jc w:val="both"/>
        <w:outlineLvl w:val="1"/>
        <w:rPr>
          <w:rFonts w:ascii="Arial" w:hAnsi="Arial" w:cs="Arial"/>
          <w:sz w:val="20"/>
          <w:szCs w:val="20"/>
        </w:rPr>
      </w:pPr>
      <w:r w:rsidRPr="00C53D2A">
        <w:rPr>
          <w:rFonts w:ascii="Arial" w:hAnsi="Arial" w:cs="Arial"/>
          <w:sz w:val="20"/>
          <w:szCs w:val="20"/>
        </w:rPr>
        <w:t>Las Cue</w:t>
      </w:r>
      <w:r w:rsidR="008708CF">
        <w:rPr>
          <w:rFonts w:ascii="Arial" w:hAnsi="Arial" w:cs="Arial"/>
          <w:sz w:val="20"/>
          <w:szCs w:val="20"/>
        </w:rPr>
        <w:t xml:space="preserve">ntas Anuales  del ejercicio 2016 adjuntas han sido formuladas </w:t>
      </w:r>
      <w:r>
        <w:rPr>
          <w:rFonts w:ascii="Arial" w:hAnsi="Arial" w:cs="Arial"/>
          <w:sz w:val="20"/>
          <w:szCs w:val="20"/>
        </w:rPr>
        <w:t>por</w:t>
      </w:r>
      <w:r w:rsidRPr="00C53D2A">
        <w:rPr>
          <w:rFonts w:ascii="Arial" w:hAnsi="Arial" w:cs="Arial"/>
          <w:sz w:val="20"/>
          <w:szCs w:val="20"/>
        </w:rPr>
        <w:t xml:space="preserve"> </w:t>
      </w:r>
      <w:r>
        <w:rPr>
          <w:rFonts w:ascii="Arial" w:hAnsi="Arial" w:cs="Arial"/>
          <w:sz w:val="20"/>
          <w:szCs w:val="20"/>
        </w:rPr>
        <w:t xml:space="preserve">el </w:t>
      </w:r>
      <w:r w:rsidR="008708CF">
        <w:rPr>
          <w:rFonts w:ascii="Arial" w:hAnsi="Arial" w:cs="Arial"/>
          <w:sz w:val="20"/>
          <w:szCs w:val="20"/>
        </w:rPr>
        <w:t>Órgano</w:t>
      </w:r>
      <w:r w:rsidRPr="00C53D2A">
        <w:rPr>
          <w:rFonts w:ascii="Arial" w:hAnsi="Arial" w:cs="Arial"/>
          <w:sz w:val="20"/>
          <w:szCs w:val="20"/>
        </w:rPr>
        <w:t xml:space="preserve"> de Administración a partir de los registros contables de la Sociedad </w:t>
      </w:r>
      <w:r>
        <w:rPr>
          <w:rFonts w:ascii="Arial" w:hAnsi="Arial" w:cs="Arial"/>
          <w:sz w:val="20"/>
          <w:szCs w:val="20"/>
        </w:rPr>
        <w:t>a 31 de diciembre de 201</w:t>
      </w:r>
      <w:r w:rsidR="008708CF">
        <w:rPr>
          <w:rFonts w:ascii="Arial" w:hAnsi="Arial" w:cs="Arial"/>
          <w:sz w:val="20"/>
          <w:szCs w:val="20"/>
        </w:rPr>
        <w:t>6</w:t>
      </w:r>
      <w:r w:rsidRPr="00C53D2A">
        <w:rPr>
          <w:rFonts w:ascii="Arial" w:hAnsi="Arial" w:cs="Arial"/>
          <w:sz w:val="20"/>
          <w:szCs w:val="20"/>
        </w:rPr>
        <w:t xml:space="preserve"> y en ellas se han aplicado los principios contables y criterios de valoración recogidos en el Real Decreto 1514/2007, por el que se aprueba el Plan General de Contabilidad</w:t>
      </w:r>
      <w:r w:rsidR="00864F6B">
        <w:rPr>
          <w:rFonts w:ascii="Arial" w:hAnsi="Arial" w:cs="Arial"/>
          <w:sz w:val="20"/>
          <w:szCs w:val="20"/>
        </w:rPr>
        <w:t>, el RD 602/2016</w:t>
      </w:r>
      <w:r w:rsidRPr="00C53D2A">
        <w:rPr>
          <w:rFonts w:ascii="Arial" w:hAnsi="Arial" w:cs="Arial"/>
          <w:sz w:val="20"/>
          <w:szCs w:val="20"/>
        </w:rPr>
        <w:t xml:space="preserve"> y el resto de disposiciones legales vigentes en materia contable, y muestran la imagen fiel del patrimonio, de  la situación financiera y de los resultados de la Sociedad.</w:t>
      </w:r>
    </w:p>
    <w:p w:rsidR="00E06979" w:rsidRPr="00C53D2A" w:rsidRDefault="00E06979" w:rsidP="00C53D2A">
      <w:pPr>
        <w:rPr>
          <w:rFonts w:ascii="Arial" w:hAnsi="Arial" w:cs="Arial"/>
          <w:sz w:val="20"/>
          <w:szCs w:val="20"/>
          <w:lang w:val="es-ES_tradnl"/>
        </w:rPr>
      </w:pPr>
    </w:p>
    <w:p w:rsidR="00E06979" w:rsidRDefault="00E06979" w:rsidP="003D1FA3">
      <w:pPr>
        <w:jc w:val="both"/>
        <w:rPr>
          <w:rFonts w:ascii="Arial" w:hAnsi="Arial" w:cs="Arial"/>
          <w:sz w:val="20"/>
          <w:szCs w:val="20"/>
        </w:rPr>
      </w:pPr>
      <w:r w:rsidRPr="00C53D2A">
        <w:rPr>
          <w:rFonts w:ascii="Arial" w:hAnsi="Arial" w:cs="Arial"/>
          <w:sz w:val="20"/>
          <w:szCs w:val="20"/>
        </w:rPr>
        <w:t xml:space="preserve">No existen razones excepcionales por las que, para mostrar la imagen fiel, no se hayan aplicado disposiciones legales en materia contable. </w:t>
      </w:r>
    </w:p>
    <w:p w:rsidR="008708CF" w:rsidRDefault="008708CF" w:rsidP="003D1FA3">
      <w:pPr>
        <w:jc w:val="both"/>
        <w:rPr>
          <w:rFonts w:ascii="Arial" w:hAnsi="Arial" w:cs="Arial"/>
          <w:sz w:val="20"/>
          <w:szCs w:val="20"/>
        </w:rPr>
      </w:pPr>
    </w:p>
    <w:p w:rsidR="008708CF" w:rsidRPr="00C53D2A" w:rsidRDefault="008708CF" w:rsidP="003D1FA3">
      <w:pPr>
        <w:jc w:val="both"/>
        <w:rPr>
          <w:rFonts w:ascii="Arial" w:hAnsi="Arial" w:cs="Arial"/>
          <w:sz w:val="20"/>
          <w:szCs w:val="20"/>
        </w:rPr>
      </w:pPr>
      <w:r w:rsidRPr="008708CF">
        <w:rPr>
          <w:rFonts w:ascii="Arial" w:hAnsi="Arial" w:cs="Arial"/>
          <w:sz w:val="20"/>
          <w:szCs w:val="20"/>
        </w:rPr>
        <w:t>En el caso de que sea necesario aportar informaciones complementarias, cuando la aplicación de las disposiciones legales no sea suficiente para mostrar la imagen fiel, se indicará su ubicación en la memoria.</w:t>
      </w:r>
    </w:p>
    <w:p w:rsidR="00E06979" w:rsidRPr="00C53D2A" w:rsidRDefault="00E06979" w:rsidP="00C53D2A">
      <w:pPr>
        <w:jc w:val="both"/>
        <w:rPr>
          <w:rFonts w:ascii="Arial" w:hAnsi="Arial" w:cs="Arial"/>
          <w:sz w:val="20"/>
          <w:szCs w:val="20"/>
        </w:rPr>
      </w:pPr>
    </w:p>
    <w:p w:rsidR="00E06979" w:rsidRDefault="00E06979" w:rsidP="003D1FA3">
      <w:pPr>
        <w:autoSpaceDE w:val="0"/>
        <w:autoSpaceDN w:val="0"/>
        <w:adjustRightInd w:val="0"/>
        <w:spacing w:after="120"/>
        <w:jc w:val="both"/>
        <w:rPr>
          <w:rFonts w:ascii="Arial" w:hAnsi="Arial" w:cs="Arial"/>
          <w:sz w:val="20"/>
          <w:szCs w:val="20"/>
        </w:rPr>
      </w:pPr>
      <w:r w:rsidRPr="00483510">
        <w:rPr>
          <w:rFonts w:ascii="Arial" w:hAnsi="Arial" w:cs="Arial"/>
          <w:sz w:val="20"/>
          <w:szCs w:val="20"/>
        </w:rPr>
        <w:t xml:space="preserve">Las Cuentas Anuales adjuntas se someterán a la aprobación por </w:t>
      </w:r>
      <w:r>
        <w:rPr>
          <w:rFonts w:ascii="Arial" w:hAnsi="Arial" w:cs="Arial"/>
          <w:sz w:val="20"/>
          <w:szCs w:val="20"/>
        </w:rPr>
        <w:t>el socio único</w:t>
      </w:r>
      <w:r w:rsidRPr="00483510">
        <w:rPr>
          <w:rFonts w:ascii="Arial" w:hAnsi="Arial" w:cs="Arial"/>
          <w:sz w:val="20"/>
          <w:szCs w:val="20"/>
        </w:rPr>
        <w:t>, estimándose que serán aprobadas sin modificación alguna.</w:t>
      </w:r>
    </w:p>
    <w:p w:rsidR="00E06979" w:rsidRPr="00A3134C" w:rsidRDefault="00E06979" w:rsidP="0084164C">
      <w:pPr>
        <w:tabs>
          <w:tab w:val="left" w:pos="850"/>
        </w:tabs>
        <w:ind w:right="-1"/>
        <w:jc w:val="both"/>
        <w:rPr>
          <w:rFonts w:ascii="Arial" w:hAnsi="Arial" w:cs="Arial"/>
          <w:sz w:val="20"/>
        </w:rPr>
      </w:pPr>
      <w:r w:rsidRPr="00A3134C">
        <w:rPr>
          <w:rFonts w:ascii="Arial" w:hAnsi="Arial" w:cs="Arial"/>
          <w:sz w:val="20"/>
        </w:rPr>
        <w:t xml:space="preserve">Se le aplica la normativa establecida en la Ley de Sociedades de Capital, cuyo texto refundido se aprobó por Real Decreto Legislativo 1/2010 de 2 de Julio, la ley de Sociedades de Capital, Código de Comercio y disposiciones complementarias. </w:t>
      </w:r>
    </w:p>
    <w:p w:rsidR="00E06979" w:rsidRDefault="00E06979" w:rsidP="00C53D2A">
      <w:pPr>
        <w:jc w:val="both"/>
        <w:rPr>
          <w:rFonts w:ascii="Arial" w:hAnsi="Arial" w:cs="Arial"/>
          <w:b/>
          <w:sz w:val="20"/>
          <w:szCs w:val="20"/>
        </w:rPr>
      </w:pPr>
    </w:p>
    <w:p w:rsidR="00E06979" w:rsidRDefault="008708CF" w:rsidP="00C53D2A">
      <w:pPr>
        <w:jc w:val="both"/>
        <w:rPr>
          <w:rFonts w:ascii="Arial" w:hAnsi="Arial" w:cs="Arial"/>
          <w:sz w:val="20"/>
          <w:szCs w:val="20"/>
          <w:u w:val="single"/>
        </w:rPr>
      </w:pPr>
      <w:r w:rsidRPr="008708CF">
        <w:rPr>
          <w:rFonts w:ascii="Arial" w:hAnsi="Arial" w:cs="Arial"/>
          <w:sz w:val="20"/>
          <w:szCs w:val="20"/>
          <w:u w:val="single"/>
        </w:rPr>
        <w:t xml:space="preserve">2.2 </w:t>
      </w:r>
      <w:r>
        <w:rPr>
          <w:rFonts w:ascii="Arial" w:hAnsi="Arial" w:cs="Arial"/>
          <w:sz w:val="20"/>
          <w:szCs w:val="20"/>
          <w:u w:val="single"/>
        </w:rPr>
        <w:t>Principios Contables no obligatorios aplicados</w:t>
      </w:r>
    </w:p>
    <w:p w:rsidR="00E06979" w:rsidRPr="00C53D2A" w:rsidRDefault="00E06979" w:rsidP="00C53D2A">
      <w:pPr>
        <w:jc w:val="both"/>
        <w:rPr>
          <w:rFonts w:ascii="Arial" w:hAnsi="Arial" w:cs="Arial"/>
          <w:sz w:val="20"/>
          <w:szCs w:val="20"/>
          <w:u w:val="single"/>
        </w:rPr>
      </w:pPr>
    </w:p>
    <w:p w:rsidR="008708CF" w:rsidRDefault="008708CF" w:rsidP="008708CF">
      <w:pPr>
        <w:jc w:val="both"/>
        <w:rPr>
          <w:rFonts w:ascii="Arial" w:hAnsi="Arial" w:cs="Arial"/>
          <w:sz w:val="20"/>
          <w:szCs w:val="20"/>
        </w:rPr>
      </w:pPr>
      <w:r w:rsidRPr="008708CF">
        <w:rPr>
          <w:rFonts w:ascii="Arial" w:hAnsi="Arial" w:cs="Arial"/>
          <w:sz w:val="20"/>
          <w:szCs w:val="20"/>
        </w:rPr>
        <w:t>No se han aplicado principios contables no obligatorios</w:t>
      </w:r>
    </w:p>
    <w:p w:rsidR="00864F6B" w:rsidRPr="008708CF" w:rsidRDefault="00864F6B" w:rsidP="008708CF">
      <w:pPr>
        <w:jc w:val="both"/>
        <w:rPr>
          <w:rFonts w:ascii="Arial" w:hAnsi="Arial" w:cs="Arial"/>
          <w:sz w:val="20"/>
          <w:szCs w:val="20"/>
        </w:rPr>
      </w:pPr>
    </w:p>
    <w:p w:rsidR="00E06979" w:rsidRPr="00C53D2A" w:rsidRDefault="00E06979" w:rsidP="00C53D2A">
      <w:pPr>
        <w:jc w:val="both"/>
        <w:rPr>
          <w:rFonts w:ascii="Arial" w:hAnsi="Arial" w:cs="Arial"/>
          <w:sz w:val="20"/>
          <w:szCs w:val="20"/>
        </w:rPr>
      </w:pPr>
    </w:p>
    <w:p w:rsidR="00E06979" w:rsidRPr="00C53D2A" w:rsidRDefault="008708CF" w:rsidP="00A16C5B">
      <w:pPr>
        <w:jc w:val="both"/>
        <w:rPr>
          <w:rFonts w:ascii="Arial" w:hAnsi="Arial" w:cs="Arial"/>
          <w:sz w:val="20"/>
          <w:szCs w:val="20"/>
          <w:u w:val="single"/>
        </w:rPr>
      </w:pPr>
      <w:r w:rsidRPr="008708CF">
        <w:rPr>
          <w:rFonts w:ascii="Arial" w:hAnsi="Arial" w:cs="Arial"/>
          <w:sz w:val="20"/>
          <w:szCs w:val="20"/>
          <w:u w:val="single"/>
        </w:rPr>
        <w:lastRenderedPageBreak/>
        <w:t xml:space="preserve">2.3 </w:t>
      </w:r>
      <w:r w:rsidR="00E06979" w:rsidRPr="00A16C5B">
        <w:rPr>
          <w:rFonts w:ascii="Arial" w:hAnsi="Arial" w:cs="Arial"/>
          <w:sz w:val="20"/>
          <w:szCs w:val="20"/>
          <w:u w:val="single"/>
        </w:rPr>
        <w:t>Aspectos críticos de la valoración y estimación de la incertidumbre</w:t>
      </w:r>
      <w:r w:rsidR="00E06979" w:rsidRPr="00C53D2A">
        <w:rPr>
          <w:rFonts w:ascii="Arial" w:hAnsi="Arial" w:cs="Arial"/>
          <w:sz w:val="20"/>
          <w:szCs w:val="20"/>
          <w:u w:val="single"/>
        </w:rPr>
        <w:t>:</w:t>
      </w:r>
    </w:p>
    <w:p w:rsidR="00E06979" w:rsidRPr="00C53D2A" w:rsidRDefault="00E06979" w:rsidP="00C53D2A">
      <w:pPr>
        <w:rPr>
          <w:rFonts w:ascii="Arial" w:hAnsi="Arial" w:cs="Arial"/>
          <w:sz w:val="20"/>
          <w:szCs w:val="20"/>
        </w:rPr>
      </w:pPr>
    </w:p>
    <w:p w:rsidR="00E06979" w:rsidRPr="00C53D2A" w:rsidRDefault="00E06979" w:rsidP="00C53D2A">
      <w:pPr>
        <w:tabs>
          <w:tab w:val="num" w:pos="990"/>
        </w:tabs>
        <w:autoSpaceDE w:val="0"/>
        <w:autoSpaceDN w:val="0"/>
        <w:adjustRightInd w:val="0"/>
        <w:spacing w:after="120"/>
        <w:jc w:val="both"/>
        <w:rPr>
          <w:rFonts w:ascii="Arial" w:hAnsi="Arial" w:cs="Arial"/>
          <w:sz w:val="20"/>
          <w:szCs w:val="20"/>
        </w:rPr>
      </w:pPr>
      <w:r w:rsidRPr="00C53D2A">
        <w:rPr>
          <w:rFonts w:ascii="Arial" w:hAnsi="Arial" w:cs="Arial"/>
          <w:sz w:val="20"/>
          <w:szCs w:val="20"/>
        </w:rPr>
        <w:t xml:space="preserve">La Sociedad ha elaborado sus estados financieros bajo el principio de empresa en funcionamiento, sin que exista ningún tipo de riesgo importante que pueda suponer cambios significativos en el valor de los activos o pasivos en el ejercicio siguiente. </w:t>
      </w:r>
    </w:p>
    <w:p w:rsidR="00E06979" w:rsidRPr="00C53D2A" w:rsidRDefault="00E06979" w:rsidP="00C53D2A">
      <w:pPr>
        <w:tabs>
          <w:tab w:val="num" w:pos="990"/>
        </w:tabs>
        <w:autoSpaceDE w:val="0"/>
        <w:autoSpaceDN w:val="0"/>
        <w:adjustRightInd w:val="0"/>
        <w:spacing w:after="120"/>
        <w:jc w:val="both"/>
        <w:rPr>
          <w:rFonts w:ascii="Arial" w:hAnsi="Arial" w:cs="Arial"/>
          <w:sz w:val="20"/>
          <w:szCs w:val="20"/>
        </w:rPr>
      </w:pPr>
      <w:r w:rsidRPr="00C53D2A">
        <w:rPr>
          <w:rFonts w:ascii="Arial" w:hAnsi="Arial" w:cs="Arial"/>
          <w:sz w:val="20"/>
          <w:szCs w:val="20"/>
        </w:rPr>
        <w:t>La información contenida en estas cuentas anuales es responsabilidad de los Administradores de la Sociedad.</w:t>
      </w:r>
    </w:p>
    <w:p w:rsidR="00E06979" w:rsidRDefault="00E06979" w:rsidP="00C53D2A">
      <w:pPr>
        <w:tabs>
          <w:tab w:val="num" w:pos="990"/>
        </w:tabs>
        <w:autoSpaceDE w:val="0"/>
        <w:autoSpaceDN w:val="0"/>
        <w:adjustRightInd w:val="0"/>
        <w:spacing w:after="120"/>
        <w:jc w:val="both"/>
        <w:rPr>
          <w:rFonts w:ascii="Arial" w:hAnsi="Arial" w:cs="Arial"/>
          <w:sz w:val="20"/>
          <w:szCs w:val="20"/>
        </w:rPr>
      </w:pPr>
      <w:r w:rsidRPr="00C53D2A">
        <w:rPr>
          <w:rFonts w:ascii="Arial" w:hAnsi="Arial" w:cs="Arial"/>
          <w:sz w:val="20"/>
          <w:szCs w:val="20"/>
        </w:rPr>
        <w:t>En las cuentas anuales adjuntas se han utilizado ocasionalmente</w:t>
      </w:r>
      <w:r w:rsidR="008708CF">
        <w:rPr>
          <w:rFonts w:ascii="Arial" w:hAnsi="Arial" w:cs="Arial"/>
          <w:sz w:val="20"/>
          <w:szCs w:val="20"/>
        </w:rPr>
        <w:t xml:space="preserve"> estimaciones realizadas por la </w:t>
      </w:r>
      <w:r w:rsidRPr="00C53D2A">
        <w:rPr>
          <w:rFonts w:ascii="Arial" w:hAnsi="Arial" w:cs="Arial"/>
          <w:sz w:val="20"/>
          <w:szCs w:val="20"/>
        </w:rPr>
        <w:t xml:space="preserve">Dirección de la Sociedad para cuantificar algunos de los activos, pasivos, ingresos, gastos y compromisos que figuran registrados en ella. Básicamente, estas estimaciones se refieren a: </w:t>
      </w:r>
    </w:p>
    <w:p w:rsidR="00E06979" w:rsidRPr="00381FA8" w:rsidRDefault="00E06979" w:rsidP="00A16C5B">
      <w:pPr>
        <w:jc w:val="both"/>
        <w:rPr>
          <w:rFonts w:ascii="Arial" w:hAnsi="Arial" w:cs="Arial"/>
          <w:sz w:val="20"/>
          <w:szCs w:val="20"/>
        </w:rPr>
      </w:pPr>
      <w:r w:rsidRPr="00381FA8">
        <w:rPr>
          <w:rFonts w:ascii="Arial" w:hAnsi="Arial" w:cs="Arial"/>
          <w:sz w:val="20"/>
          <w:szCs w:val="20"/>
        </w:rPr>
        <w:t>- Vida útil de los activos materiales e intangibles:</w:t>
      </w:r>
    </w:p>
    <w:p w:rsidR="00E06979" w:rsidRPr="006078BF" w:rsidRDefault="00E06979" w:rsidP="00A16C5B">
      <w:pPr>
        <w:jc w:val="both"/>
        <w:rPr>
          <w:rFonts w:ascii="Arial" w:hAnsi="Arial" w:cs="Arial"/>
          <w:sz w:val="20"/>
          <w:szCs w:val="20"/>
          <w:u w:val="single"/>
        </w:rPr>
      </w:pPr>
    </w:p>
    <w:p w:rsidR="00E06979" w:rsidRDefault="00E06979" w:rsidP="00381FA8">
      <w:pPr>
        <w:jc w:val="both"/>
        <w:rPr>
          <w:rFonts w:ascii="Arial" w:hAnsi="Arial" w:cs="Arial"/>
          <w:sz w:val="20"/>
          <w:szCs w:val="20"/>
        </w:rPr>
      </w:pPr>
      <w:r w:rsidRPr="00A16C5B">
        <w:rPr>
          <w:rFonts w:ascii="Arial" w:hAnsi="Arial" w:cs="Arial"/>
          <w:sz w:val="20"/>
          <w:szCs w:val="20"/>
        </w:rPr>
        <w:t>Es posible que, a pesar de que estas estimaciones</w:t>
      </w:r>
      <w:r w:rsidRPr="00C53D2A">
        <w:rPr>
          <w:rFonts w:ascii="Arial" w:hAnsi="Arial" w:cs="Arial"/>
          <w:sz w:val="20"/>
          <w:szCs w:val="20"/>
        </w:rPr>
        <w:t xml:space="preserve">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381FA8" w:rsidRDefault="00381FA8" w:rsidP="00381FA8">
      <w:pPr>
        <w:jc w:val="both"/>
        <w:rPr>
          <w:rFonts w:ascii="Arial" w:hAnsi="Arial" w:cs="Arial"/>
          <w:sz w:val="20"/>
          <w:szCs w:val="20"/>
        </w:rPr>
      </w:pPr>
    </w:p>
    <w:p w:rsidR="00E06979" w:rsidRPr="00381FA8" w:rsidRDefault="00381FA8" w:rsidP="00D45D24">
      <w:pPr>
        <w:autoSpaceDE w:val="0"/>
        <w:autoSpaceDN w:val="0"/>
        <w:adjustRightInd w:val="0"/>
        <w:spacing w:after="120"/>
        <w:rPr>
          <w:rFonts w:ascii="Arial" w:hAnsi="Arial" w:cs="Arial"/>
          <w:sz w:val="20"/>
          <w:szCs w:val="20"/>
          <w:u w:val="single"/>
        </w:rPr>
      </w:pPr>
      <w:r w:rsidRPr="00381FA8">
        <w:rPr>
          <w:rFonts w:ascii="Arial" w:hAnsi="Arial" w:cs="Arial"/>
          <w:sz w:val="20"/>
          <w:szCs w:val="20"/>
          <w:u w:val="single"/>
        </w:rPr>
        <w:t>2.4</w:t>
      </w:r>
      <w:r w:rsidR="00E06979" w:rsidRPr="00381FA8">
        <w:rPr>
          <w:rFonts w:ascii="Arial" w:hAnsi="Arial" w:cs="Arial"/>
          <w:sz w:val="20"/>
          <w:szCs w:val="20"/>
          <w:u w:val="single"/>
        </w:rPr>
        <w:t xml:space="preserve"> </w:t>
      </w:r>
      <w:r w:rsidRPr="00381FA8">
        <w:rPr>
          <w:rFonts w:ascii="Arial" w:hAnsi="Arial" w:cs="Arial"/>
          <w:sz w:val="20"/>
          <w:szCs w:val="20"/>
          <w:u w:val="single"/>
        </w:rPr>
        <w:t>Comparación de la información</w:t>
      </w:r>
    </w:p>
    <w:p w:rsidR="00E06979" w:rsidRDefault="00381FA8" w:rsidP="00D81B85">
      <w:pPr>
        <w:jc w:val="both"/>
        <w:rPr>
          <w:rFonts w:ascii="Arial" w:hAnsi="Arial" w:cs="Arial"/>
          <w:color w:val="000000"/>
          <w:sz w:val="20"/>
          <w:szCs w:val="20"/>
        </w:rPr>
      </w:pPr>
      <w:bookmarkStart w:id="0" w:name="_Toc221951444"/>
      <w:r w:rsidRPr="00381FA8">
        <w:rPr>
          <w:rFonts w:ascii="Arial" w:hAnsi="Arial" w:cs="Arial"/>
          <w:color w:val="000000"/>
          <w:sz w:val="20"/>
          <w:szCs w:val="20"/>
        </w:rPr>
        <w:t>Las cuentas anuales presentan a efectos comparativos, con cada una de las partidas del balance de situación y de la cuenta de pérdidas y ganancias, además de las cifras del ejercicio 2016, las correspondientes al ejercicio anterior. Asimismo, la información contenida en esta memoria referida al ejercicio 2016 se presenta, a efectos comparativos con la información del ejercicio 2015.</w:t>
      </w:r>
    </w:p>
    <w:p w:rsidR="00381FA8" w:rsidRDefault="00381FA8" w:rsidP="00D81B85">
      <w:pPr>
        <w:jc w:val="both"/>
        <w:rPr>
          <w:rFonts w:ascii="Arial" w:hAnsi="Arial" w:cs="Arial"/>
          <w:color w:val="000000"/>
          <w:sz w:val="20"/>
          <w:szCs w:val="20"/>
        </w:rPr>
      </w:pPr>
    </w:p>
    <w:p w:rsidR="000223E7" w:rsidRDefault="00381FA8" w:rsidP="00381FA8">
      <w:pPr>
        <w:jc w:val="both"/>
        <w:rPr>
          <w:rFonts w:ascii="Arial" w:hAnsi="Arial" w:cs="Arial"/>
          <w:color w:val="000000"/>
          <w:sz w:val="20"/>
          <w:szCs w:val="20"/>
        </w:rPr>
      </w:pPr>
      <w:r w:rsidRPr="000223E7">
        <w:rPr>
          <w:rFonts w:ascii="Arial" w:hAnsi="Arial" w:cs="Arial"/>
          <w:color w:val="000000"/>
          <w:sz w:val="20"/>
          <w:szCs w:val="20"/>
        </w:rPr>
        <w:t xml:space="preserve">La Sociedad no está obligada a auditar las cuentas anuales de los ejercicios 2015 y 2016. </w:t>
      </w:r>
    </w:p>
    <w:p w:rsidR="000223E7" w:rsidRDefault="000223E7" w:rsidP="00381FA8">
      <w:pPr>
        <w:jc w:val="both"/>
        <w:rPr>
          <w:rFonts w:ascii="Arial" w:hAnsi="Arial" w:cs="Arial"/>
          <w:color w:val="000000"/>
          <w:sz w:val="20"/>
          <w:szCs w:val="20"/>
        </w:rPr>
      </w:pPr>
    </w:p>
    <w:p w:rsidR="00381FA8" w:rsidRPr="00D81B85" w:rsidRDefault="00381FA8" w:rsidP="00381FA8">
      <w:pPr>
        <w:jc w:val="both"/>
        <w:rPr>
          <w:rFonts w:ascii="Arial" w:hAnsi="Arial" w:cs="Arial"/>
          <w:color w:val="000000"/>
          <w:sz w:val="20"/>
          <w:szCs w:val="20"/>
        </w:rPr>
      </w:pPr>
      <w:r w:rsidRPr="00381FA8">
        <w:rPr>
          <w:rFonts w:ascii="Arial" w:hAnsi="Arial" w:cs="Arial"/>
          <w:color w:val="000000"/>
          <w:sz w:val="20"/>
          <w:szCs w:val="20"/>
          <w:u w:val="single"/>
        </w:rPr>
        <w:t xml:space="preserve">2.5 </w:t>
      </w:r>
      <w:r w:rsidRPr="00FC4C3F">
        <w:rPr>
          <w:rFonts w:ascii="Arial" w:hAnsi="Arial" w:cs="Arial"/>
          <w:color w:val="000000"/>
          <w:sz w:val="20"/>
          <w:szCs w:val="20"/>
          <w:u w:val="single"/>
        </w:rPr>
        <w:t>Elementos Recogidos en Varias Partidas</w:t>
      </w:r>
      <w:r w:rsidRPr="00D81B85">
        <w:rPr>
          <w:rFonts w:ascii="Arial" w:hAnsi="Arial" w:cs="Arial"/>
          <w:color w:val="000000"/>
          <w:sz w:val="20"/>
          <w:szCs w:val="20"/>
          <w:u w:val="single"/>
        </w:rPr>
        <w:t>:</w:t>
      </w:r>
    </w:p>
    <w:p w:rsidR="00381FA8" w:rsidRDefault="00381FA8" w:rsidP="00381FA8">
      <w:pPr>
        <w:jc w:val="both"/>
        <w:rPr>
          <w:rFonts w:ascii="Arial" w:hAnsi="Arial" w:cs="Arial"/>
          <w:color w:val="000000"/>
          <w:sz w:val="20"/>
          <w:szCs w:val="20"/>
          <w:u w:val="single"/>
        </w:rPr>
      </w:pPr>
    </w:p>
    <w:p w:rsidR="00381FA8" w:rsidRPr="00381FA8" w:rsidRDefault="00381FA8" w:rsidP="00381FA8">
      <w:pPr>
        <w:jc w:val="both"/>
        <w:rPr>
          <w:rFonts w:ascii="Arial" w:hAnsi="Arial" w:cs="Arial"/>
          <w:color w:val="000000"/>
          <w:sz w:val="20"/>
          <w:szCs w:val="20"/>
        </w:rPr>
      </w:pPr>
      <w:r w:rsidRPr="00381FA8">
        <w:rPr>
          <w:rFonts w:ascii="Arial" w:hAnsi="Arial" w:cs="Arial"/>
          <w:color w:val="000000"/>
          <w:sz w:val="20"/>
          <w:szCs w:val="20"/>
        </w:rPr>
        <w:t>No se presentan elementos patrimoniales registrados en dos o más partidas del balance.</w:t>
      </w:r>
    </w:p>
    <w:p w:rsidR="00381FA8" w:rsidRDefault="00381FA8" w:rsidP="00D81B85">
      <w:pPr>
        <w:jc w:val="both"/>
        <w:rPr>
          <w:rFonts w:ascii="Arial" w:hAnsi="Arial" w:cs="Arial"/>
          <w:color w:val="000000"/>
          <w:sz w:val="20"/>
          <w:szCs w:val="20"/>
        </w:rPr>
      </w:pPr>
    </w:p>
    <w:p w:rsidR="00381FA8" w:rsidRPr="00381FA8" w:rsidRDefault="00381FA8" w:rsidP="00381FA8">
      <w:pPr>
        <w:rPr>
          <w:rFonts w:ascii="Arial" w:hAnsi="Arial" w:cs="Arial"/>
          <w:color w:val="000000"/>
          <w:sz w:val="20"/>
          <w:szCs w:val="20"/>
          <w:u w:val="single"/>
        </w:rPr>
      </w:pPr>
      <w:r w:rsidRPr="00381FA8">
        <w:rPr>
          <w:rFonts w:ascii="Arial" w:hAnsi="Arial" w:cs="Arial"/>
          <w:color w:val="000000"/>
          <w:sz w:val="20"/>
          <w:szCs w:val="20"/>
          <w:u w:val="single"/>
        </w:rPr>
        <w:t>2.6 Cambios en criterios contables</w:t>
      </w:r>
    </w:p>
    <w:p w:rsidR="00381FA8" w:rsidRPr="00381FA8" w:rsidRDefault="00381FA8" w:rsidP="00381FA8">
      <w:pPr>
        <w:rPr>
          <w:rFonts w:ascii="Arial" w:hAnsi="Arial" w:cs="Arial"/>
          <w:color w:val="000000"/>
          <w:sz w:val="20"/>
          <w:szCs w:val="20"/>
        </w:rPr>
      </w:pPr>
    </w:p>
    <w:p w:rsidR="00E06979" w:rsidRDefault="00381FA8" w:rsidP="00381FA8">
      <w:pPr>
        <w:rPr>
          <w:rFonts w:ascii="Arial" w:hAnsi="Arial" w:cs="Arial"/>
          <w:color w:val="000000"/>
          <w:sz w:val="20"/>
          <w:szCs w:val="20"/>
        </w:rPr>
      </w:pPr>
      <w:r w:rsidRPr="00381FA8">
        <w:rPr>
          <w:rFonts w:ascii="Arial" w:hAnsi="Arial" w:cs="Arial"/>
          <w:color w:val="000000"/>
          <w:sz w:val="20"/>
          <w:szCs w:val="20"/>
        </w:rPr>
        <w:t>Durante el ejercicio 2016 no se han producido cambios significativos de criterios contables respecto a los criterios aplicados en el ejercicio anterior.</w:t>
      </w:r>
    </w:p>
    <w:p w:rsidR="00381FA8" w:rsidRPr="00D81B85" w:rsidRDefault="00381FA8" w:rsidP="00381FA8">
      <w:pPr>
        <w:rPr>
          <w:rFonts w:ascii="Arial" w:hAnsi="Arial" w:cs="Arial"/>
          <w:color w:val="3366FF"/>
          <w:sz w:val="20"/>
          <w:szCs w:val="20"/>
        </w:rPr>
      </w:pPr>
    </w:p>
    <w:bookmarkEnd w:id="0"/>
    <w:p w:rsidR="00381FA8" w:rsidRPr="00381FA8" w:rsidRDefault="00381FA8" w:rsidP="00381FA8">
      <w:pPr>
        <w:jc w:val="both"/>
        <w:rPr>
          <w:rFonts w:ascii="Arial" w:hAnsi="Arial" w:cs="Arial"/>
          <w:color w:val="000000"/>
          <w:sz w:val="20"/>
          <w:szCs w:val="20"/>
          <w:u w:val="single"/>
        </w:rPr>
      </w:pPr>
      <w:r w:rsidRPr="00381FA8">
        <w:rPr>
          <w:rFonts w:ascii="Arial" w:hAnsi="Arial" w:cs="Arial"/>
          <w:color w:val="000000"/>
          <w:sz w:val="20"/>
          <w:szCs w:val="20"/>
          <w:u w:val="single"/>
        </w:rPr>
        <w:t>2.7 Corrección de errores</w:t>
      </w:r>
    </w:p>
    <w:p w:rsidR="00381FA8" w:rsidRPr="00381FA8" w:rsidRDefault="00381FA8" w:rsidP="00381FA8">
      <w:pPr>
        <w:jc w:val="both"/>
        <w:rPr>
          <w:rFonts w:ascii="Arial" w:hAnsi="Arial" w:cs="Arial"/>
          <w:b/>
          <w:bCs/>
          <w:color w:val="000000"/>
          <w:sz w:val="20"/>
          <w:szCs w:val="20"/>
        </w:rPr>
      </w:pPr>
    </w:p>
    <w:p w:rsidR="00381FA8" w:rsidRPr="00381FA8" w:rsidRDefault="00381FA8" w:rsidP="00381FA8">
      <w:pPr>
        <w:jc w:val="both"/>
        <w:rPr>
          <w:rFonts w:ascii="Arial" w:hAnsi="Arial" w:cs="Arial"/>
          <w:color w:val="000000"/>
          <w:sz w:val="20"/>
          <w:szCs w:val="20"/>
        </w:rPr>
      </w:pPr>
      <w:r w:rsidRPr="00381FA8">
        <w:rPr>
          <w:rFonts w:ascii="Arial" w:hAnsi="Arial" w:cs="Arial"/>
          <w:color w:val="000000"/>
          <w:sz w:val="20"/>
          <w:szCs w:val="20"/>
        </w:rPr>
        <w:t xml:space="preserve">Las cuentas anuales del ejercicio 2016 no incluyen ajustes realizados como consecuencia de errores detectados en el ejercicio. </w:t>
      </w:r>
    </w:p>
    <w:p w:rsidR="00E06979" w:rsidRDefault="00E06979" w:rsidP="00D81B85">
      <w:pPr>
        <w:jc w:val="both"/>
        <w:rPr>
          <w:rFonts w:ascii="Arial" w:hAnsi="Arial" w:cs="Arial"/>
          <w:sz w:val="20"/>
          <w:szCs w:val="20"/>
        </w:rPr>
      </w:pPr>
    </w:p>
    <w:p w:rsidR="00381FA8" w:rsidRPr="00381FA8" w:rsidRDefault="00381FA8" w:rsidP="00381FA8">
      <w:pPr>
        <w:jc w:val="both"/>
        <w:rPr>
          <w:rFonts w:ascii="Arial" w:hAnsi="Arial" w:cs="Arial"/>
          <w:sz w:val="20"/>
          <w:szCs w:val="20"/>
          <w:u w:val="single"/>
        </w:rPr>
      </w:pPr>
      <w:r w:rsidRPr="00381FA8">
        <w:rPr>
          <w:rFonts w:ascii="Arial" w:hAnsi="Arial" w:cs="Arial"/>
          <w:sz w:val="20"/>
          <w:szCs w:val="20"/>
          <w:u w:val="single"/>
        </w:rPr>
        <w:t>2.8 Importancia relativa</w:t>
      </w:r>
    </w:p>
    <w:p w:rsidR="00381FA8" w:rsidRPr="00381FA8" w:rsidRDefault="00381FA8" w:rsidP="00381FA8">
      <w:pPr>
        <w:jc w:val="both"/>
        <w:rPr>
          <w:rFonts w:ascii="Arial" w:hAnsi="Arial" w:cs="Arial"/>
          <w:b/>
          <w:bCs/>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del ejercicio 2016.</w:t>
      </w:r>
    </w:p>
    <w:p w:rsidR="00E06979" w:rsidRPr="00381FA8" w:rsidRDefault="00E06979" w:rsidP="00D81B85">
      <w:pPr>
        <w:jc w:val="both"/>
        <w:rPr>
          <w:rFonts w:ascii="Arial" w:hAnsi="Arial" w:cs="Arial"/>
          <w:color w:val="000000"/>
          <w:sz w:val="20"/>
          <w:szCs w:val="20"/>
        </w:rPr>
      </w:pPr>
    </w:p>
    <w:p w:rsidR="00E06979" w:rsidRDefault="00E06979" w:rsidP="00D81B85">
      <w:pPr>
        <w:jc w:val="both"/>
        <w:rPr>
          <w:rFonts w:ascii="Arial" w:hAnsi="Arial" w:cs="Arial"/>
          <w:b/>
          <w:sz w:val="20"/>
          <w:szCs w:val="20"/>
        </w:rPr>
      </w:pPr>
      <w:r w:rsidRPr="00D81B85">
        <w:rPr>
          <w:rFonts w:ascii="Arial" w:hAnsi="Arial" w:cs="Arial"/>
          <w:b/>
          <w:sz w:val="20"/>
          <w:szCs w:val="20"/>
        </w:rPr>
        <w:t xml:space="preserve">3.-   </w:t>
      </w:r>
      <w:r w:rsidR="00381FA8">
        <w:rPr>
          <w:rFonts w:ascii="Arial" w:hAnsi="Arial" w:cs="Arial"/>
          <w:b/>
          <w:sz w:val="20"/>
          <w:szCs w:val="20"/>
        </w:rPr>
        <w:t>Normas de registro y valoración</w:t>
      </w:r>
    </w:p>
    <w:p w:rsidR="00381FA8" w:rsidRDefault="00381FA8" w:rsidP="00D81B85">
      <w:pPr>
        <w:jc w:val="both"/>
        <w:rPr>
          <w:rFonts w:ascii="Arial" w:hAnsi="Arial" w:cs="Arial"/>
          <w:b/>
          <w:sz w:val="20"/>
          <w:szCs w:val="20"/>
        </w:rPr>
      </w:pPr>
    </w:p>
    <w:p w:rsidR="00381FA8" w:rsidRPr="00381FA8" w:rsidRDefault="00381FA8" w:rsidP="00381FA8">
      <w:pPr>
        <w:jc w:val="both"/>
        <w:rPr>
          <w:rFonts w:ascii="Arial" w:hAnsi="Arial" w:cs="Arial"/>
          <w:sz w:val="20"/>
          <w:szCs w:val="20"/>
          <w:u w:val="single"/>
        </w:rPr>
      </w:pPr>
      <w:r w:rsidRPr="00381FA8">
        <w:rPr>
          <w:rFonts w:ascii="Arial" w:hAnsi="Arial" w:cs="Arial"/>
          <w:sz w:val="20"/>
          <w:szCs w:val="20"/>
          <w:u w:val="single"/>
        </w:rPr>
        <w:t>3.1 Inmovilizado intangible</w:t>
      </w:r>
    </w:p>
    <w:p w:rsidR="00381FA8" w:rsidRPr="00381FA8" w:rsidRDefault="00381FA8" w:rsidP="00381FA8">
      <w:pPr>
        <w:jc w:val="both"/>
        <w:rPr>
          <w:rFonts w:ascii="Arial" w:hAnsi="Arial" w:cs="Arial"/>
          <w:sz w:val="20"/>
          <w:szCs w:val="20"/>
          <w:u w:val="single"/>
        </w:rPr>
      </w:pPr>
    </w:p>
    <w:p w:rsidR="00381FA8" w:rsidRDefault="00381FA8" w:rsidP="00381FA8">
      <w:pPr>
        <w:jc w:val="both"/>
        <w:rPr>
          <w:rFonts w:ascii="Arial" w:hAnsi="Arial" w:cs="Arial"/>
          <w:sz w:val="20"/>
          <w:szCs w:val="20"/>
        </w:rPr>
      </w:pPr>
      <w:r w:rsidRPr="00381FA8">
        <w:rPr>
          <w:rFonts w:ascii="Arial" w:hAnsi="Arial" w:cs="Arial"/>
          <w:sz w:val="20"/>
          <w:szCs w:val="20"/>
        </w:rPr>
        <w:tab/>
        <w:t xml:space="preserve">La </w:t>
      </w:r>
      <w:r w:rsidR="00F01B18">
        <w:rPr>
          <w:rFonts w:ascii="Arial" w:hAnsi="Arial" w:cs="Arial"/>
          <w:sz w:val="20"/>
          <w:szCs w:val="20"/>
        </w:rPr>
        <w:t>Sociedad</w:t>
      </w:r>
      <w:r w:rsidRPr="00381FA8">
        <w:rPr>
          <w:rFonts w:ascii="Arial" w:hAnsi="Arial" w:cs="Arial"/>
          <w:sz w:val="20"/>
          <w:szCs w:val="20"/>
        </w:rPr>
        <w:t xml:space="preserve"> no dispone de elementos de inmovilizado intangible.</w:t>
      </w:r>
    </w:p>
    <w:p w:rsid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u w:val="single"/>
        </w:rPr>
      </w:pPr>
      <w:r w:rsidRPr="00381FA8">
        <w:rPr>
          <w:rFonts w:ascii="Arial" w:hAnsi="Arial" w:cs="Arial"/>
          <w:sz w:val="20"/>
          <w:szCs w:val="20"/>
          <w:u w:val="single"/>
        </w:rPr>
        <w:t>3.</w:t>
      </w:r>
      <w:r>
        <w:rPr>
          <w:rFonts w:ascii="Arial" w:hAnsi="Arial" w:cs="Arial"/>
          <w:sz w:val="20"/>
          <w:szCs w:val="20"/>
          <w:u w:val="single"/>
        </w:rPr>
        <w:t>2</w:t>
      </w:r>
      <w:r w:rsidRPr="00381FA8">
        <w:rPr>
          <w:rFonts w:ascii="Arial" w:hAnsi="Arial" w:cs="Arial"/>
          <w:sz w:val="20"/>
          <w:szCs w:val="20"/>
          <w:u w:val="single"/>
        </w:rPr>
        <w:t xml:space="preserve"> Inmovilizado </w:t>
      </w:r>
      <w:r>
        <w:rPr>
          <w:rFonts w:ascii="Arial" w:hAnsi="Arial" w:cs="Arial"/>
          <w:sz w:val="20"/>
          <w:szCs w:val="20"/>
          <w:u w:val="single"/>
        </w:rPr>
        <w:t>material</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w:t>
      </w:r>
      <w:r w:rsidRPr="00381FA8">
        <w:rPr>
          <w:rFonts w:ascii="Arial" w:hAnsi="Arial" w:cs="Arial"/>
          <w:sz w:val="20"/>
          <w:szCs w:val="20"/>
        </w:rPr>
        <w:lastRenderedPageBreak/>
        <w:t>montaje y otros similares. La Agrupación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actividad, se contabilizan como un gasto en la cuenta de pérdidas y ganancias a medida en que se incurran.</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Los costes relacionados con grandes reparaciones de los elementos del inmovilizado material se reconocen como sustitución en el momento en que se incurren y se amortizan durante el periodo que medie hasta la siguiente reparación, dando de baja cualquier importe asociado a la reparación que pudiera permanecer en el valor contable del citado inmovilizado</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w:t>
      </w:r>
    </w:p>
    <w:p w:rsidR="00381FA8" w:rsidRPr="00381FA8" w:rsidRDefault="00381FA8" w:rsidP="00381FA8">
      <w:pPr>
        <w:jc w:val="both"/>
        <w:rPr>
          <w:rFonts w:ascii="Arial" w:hAnsi="Arial" w:cs="Arial"/>
          <w:sz w:val="20"/>
          <w:szCs w:val="20"/>
        </w:rPr>
      </w:pPr>
      <w:r w:rsidRPr="00381FA8">
        <w:rPr>
          <w:rFonts w:ascii="Arial" w:hAnsi="Arial" w:cs="Arial"/>
          <w:sz w:val="20"/>
          <w:szCs w:val="20"/>
        </w:rPr>
        <w:t xml:space="preserve">Un cambio en el calendario o en el importe de los flujos de efectivo estimados para cancelar la obligación asociada al desmantelamiento o la rehabilitación. </w:t>
      </w:r>
    </w:p>
    <w:p w:rsidR="00381FA8" w:rsidRPr="00381FA8" w:rsidRDefault="00381FA8" w:rsidP="00381FA8">
      <w:pPr>
        <w:jc w:val="both"/>
        <w:rPr>
          <w:rFonts w:ascii="Arial" w:hAnsi="Arial" w:cs="Arial"/>
          <w:sz w:val="20"/>
          <w:szCs w:val="20"/>
        </w:rPr>
      </w:pPr>
      <w:r w:rsidRPr="00381FA8">
        <w:rPr>
          <w:rFonts w:ascii="Arial" w:hAnsi="Arial" w:cs="Arial"/>
          <w:sz w:val="20"/>
          <w:szCs w:val="20"/>
        </w:rPr>
        <w:t xml:space="preserve">El tipo de descuento empleado por la Agrupación para la determinación del valor actual de la provisión que, en principio, es el tipo de interés libre de riesgo, salvo que al estimar los flujos de efectivo no se hubiera tenido en cuenta el riesgo asociado al cumplimiento de la obligación. </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381FA8" w:rsidRPr="00381FA8" w:rsidRDefault="00381FA8" w:rsidP="00381FA8">
      <w:pPr>
        <w:jc w:val="both"/>
        <w:rPr>
          <w:rFonts w:ascii="Arial" w:hAnsi="Arial" w:cs="Arial"/>
          <w:sz w:val="20"/>
          <w:szCs w:val="20"/>
        </w:rPr>
      </w:pPr>
    </w:p>
    <w:p w:rsidR="00381FA8" w:rsidRPr="00381FA8" w:rsidRDefault="00381FA8" w:rsidP="00381FA8">
      <w:pPr>
        <w:jc w:val="both"/>
        <w:rPr>
          <w:rFonts w:ascii="Arial" w:hAnsi="Arial" w:cs="Arial"/>
          <w:sz w:val="20"/>
          <w:szCs w:val="20"/>
        </w:rPr>
      </w:pPr>
      <w:r w:rsidRPr="00381FA8">
        <w:rPr>
          <w:rFonts w:ascii="Arial" w:hAnsi="Arial" w:cs="Arial"/>
          <w:sz w:val="20"/>
          <w:szCs w:val="20"/>
        </w:rPr>
        <w:t>Los gastos realizados durante el ejercicio con motivo de las obras y trabajos efectuados por la Agrupación,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curso, se cargan por el importe de dichos gastos, con abono a la partida de ingresos que recoge los trabajos realizados por la Sociedad para sí misma.</w:t>
      </w:r>
    </w:p>
    <w:p w:rsidR="00381FA8" w:rsidRP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r w:rsidRPr="00381FA8">
        <w:rPr>
          <w:rFonts w:ascii="Arial" w:hAnsi="Arial" w:cs="Arial"/>
          <w:sz w:val="20"/>
          <w:szCs w:val="20"/>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A0248A" w:rsidP="00381FA8">
      <w:pPr>
        <w:jc w:val="both"/>
        <w:rPr>
          <w:rFonts w:ascii="Arial" w:hAnsi="Arial" w:cs="Arial"/>
          <w:sz w:val="20"/>
          <w:szCs w:val="20"/>
        </w:rPr>
      </w:pPr>
      <w:r w:rsidRPr="00A0248A">
        <w:rPr>
          <w:noProof/>
        </w:rPr>
        <w:pict>
          <v:shape id="_x0000_s1054" type="#_x0000_t75" style="position:absolute;left:0;text-align:left;margin-left:40.95pt;margin-top:9.45pt;width:327.75pt;height:30.75pt;z-index:251670528;mso-position-horizontal-relative:text;mso-position-vertical-relative:text">
            <v:imagedata r:id="rId17" o:title=""/>
            <w10:wrap type="square"/>
          </v:shape>
        </w:pict>
      </w: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381FA8" w:rsidRDefault="00381FA8" w:rsidP="00381FA8">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Los activos registrados por este tipo de operaciones se amortizan con criterios similares a los aplicados al conjunto de los activos materiales, atendiendo a su naturaleza.</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Una vez reconocida la corrección valorativa por deterioro o su reversión, se ajustan las amortizaciones de los ejercicios siguientes considerando el nuevo valor contable.</w:t>
      </w:r>
    </w:p>
    <w:p w:rsidR="00D02DE1" w:rsidRPr="00D02DE1" w:rsidRDefault="00D02DE1" w:rsidP="00D02DE1">
      <w:pPr>
        <w:jc w:val="both"/>
        <w:rPr>
          <w:rFonts w:ascii="Arial" w:hAnsi="Arial" w:cs="Arial"/>
          <w:sz w:val="20"/>
          <w:szCs w:val="20"/>
        </w:rPr>
      </w:pPr>
    </w:p>
    <w:p w:rsidR="00D02DE1" w:rsidRPr="00D02DE1" w:rsidRDefault="00D02DE1" w:rsidP="00D02DE1">
      <w:pPr>
        <w:jc w:val="both"/>
        <w:rPr>
          <w:rFonts w:ascii="Arial" w:hAnsi="Arial" w:cs="Arial"/>
          <w:sz w:val="20"/>
          <w:szCs w:val="20"/>
        </w:rPr>
      </w:pPr>
      <w:r w:rsidRPr="00D02DE1">
        <w:rPr>
          <w:rFonts w:ascii="Arial" w:hAnsi="Arial" w:cs="Arial"/>
          <w:sz w:val="20"/>
          <w:szCs w:val="20"/>
        </w:rPr>
        <w:t>No obstante lo anterior, si de las circunstancias específicas de los activos se pone de manifiesto una pérdida de carácter irreversible, ésta se reconoce directamente en pérdidas procedentes del inmovilizado de la cuenta de pérdidas y ganancias.</w:t>
      </w:r>
    </w:p>
    <w:p w:rsidR="00D02DE1" w:rsidRPr="00D02DE1" w:rsidRDefault="00D02DE1" w:rsidP="00D02DE1">
      <w:pPr>
        <w:jc w:val="both"/>
        <w:rPr>
          <w:rFonts w:ascii="Arial" w:hAnsi="Arial" w:cs="Arial"/>
          <w:sz w:val="20"/>
          <w:szCs w:val="20"/>
        </w:rPr>
      </w:pPr>
    </w:p>
    <w:p w:rsidR="00381FA8" w:rsidRDefault="00D02DE1" w:rsidP="00D02DE1">
      <w:pPr>
        <w:jc w:val="both"/>
        <w:rPr>
          <w:rFonts w:ascii="Arial" w:hAnsi="Arial" w:cs="Arial"/>
          <w:sz w:val="20"/>
          <w:szCs w:val="20"/>
        </w:rPr>
      </w:pPr>
      <w:r w:rsidRPr="00D02DE1">
        <w:rPr>
          <w:rFonts w:ascii="Arial" w:hAnsi="Arial" w:cs="Arial"/>
          <w:sz w:val="20"/>
          <w:szCs w:val="20"/>
        </w:rPr>
        <w:t>En el ejercicio 2016 la Sociedad no ha registrado pérdidas por deterioro de los inmovilizados materiales.</w:t>
      </w:r>
    </w:p>
    <w:p w:rsidR="00381FA8" w:rsidRDefault="00381FA8" w:rsidP="00381FA8">
      <w:pPr>
        <w:jc w:val="both"/>
        <w:rPr>
          <w:rFonts w:ascii="Arial" w:hAnsi="Arial" w:cs="Arial"/>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3.</w:t>
      </w:r>
      <w:r w:rsidR="0089337E">
        <w:rPr>
          <w:rFonts w:ascii="Arial" w:hAnsi="Arial" w:cs="Arial"/>
          <w:sz w:val="20"/>
          <w:szCs w:val="20"/>
          <w:u w:val="single"/>
        </w:rPr>
        <w:t>3</w:t>
      </w:r>
      <w:r w:rsidRPr="0047049F">
        <w:rPr>
          <w:rFonts w:ascii="Arial" w:hAnsi="Arial" w:cs="Arial"/>
          <w:sz w:val="20"/>
          <w:szCs w:val="20"/>
          <w:u w:val="single"/>
        </w:rPr>
        <w:t xml:space="preserve"> Activos financieros y pasivos financieros</w:t>
      </w:r>
    </w:p>
    <w:p w:rsidR="0047049F" w:rsidRPr="0047049F" w:rsidRDefault="0047049F" w:rsidP="0047049F">
      <w:pPr>
        <w:jc w:val="both"/>
        <w:rPr>
          <w:rFonts w:ascii="Arial" w:hAnsi="Arial" w:cs="Arial"/>
          <w:sz w:val="20"/>
          <w:szCs w:val="20"/>
          <w:u w:val="single"/>
        </w:rPr>
      </w:pPr>
    </w:p>
    <w:p w:rsidR="0047049F" w:rsidRDefault="0047049F" w:rsidP="0047049F">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47049F" w:rsidRPr="0047049F" w:rsidRDefault="0047049F" w:rsidP="0047049F">
      <w:pPr>
        <w:jc w:val="both"/>
        <w:rPr>
          <w:rFonts w:ascii="Arial" w:hAnsi="Arial" w:cs="Arial"/>
          <w:sz w:val="20"/>
          <w:szCs w:val="20"/>
        </w:rPr>
      </w:pPr>
    </w:p>
    <w:p w:rsidR="0047049F" w:rsidRPr="0047049F" w:rsidRDefault="0047049F" w:rsidP="0047049F">
      <w:pPr>
        <w:ind w:firstLine="708"/>
        <w:jc w:val="both"/>
        <w:rPr>
          <w:rFonts w:ascii="Arial" w:hAnsi="Arial" w:cs="Arial"/>
          <w:sz w:val="20"/>
          <w:szCs w:val="20"/>
          <w:lang w:val="en-US"/>
        </w:rPr>
      </w:pPr>
      <w:r w:rsidRPr="0047049F">
        <w:rPr>
          <w:rFonts w:ascii="Arial" w:hAnsi="Arial" w:cs="Arial"/>
          <w:sz w:val="20"/>
          <w:szCs w:val="20"/>
          <w:lang w:val="en-US"/>
        </w:rPr>
        <w:t xml:space="preserve">a) </w:t>
      </w:r>
      <w:proofErr w:type="spellStart"/>
      <w:r w:rsidRPr="0047049F">
        <w:rPr>
          <w:rFonts w:ascii="Arial" w:hAnsi="Arial" w:cs="Arial"/>
          <w:sz w:val="20"/>
          <w:szCs w:val="20"/>
          <w:lang w:val="en-US"/>
        </w:rPr>
        <w:t>Activos</w:t>
      </w:r>
      <w:proofErr w:type="spellEnd"/>
      <w:r w:rsidRPr="0047049F">
        <w:rPr>
          <w:rFonts w:ascii="Arial" w:hAnsi="Arial" w:cs="Arial"/>
          <w:sz w:val="20"/>
          <w:szCs w:val="20"/>
          <w:lang w:val="en-US"/>
        </w:rPr>
        <w:t xml:space="preserve"> </w:t>
      </w:r>
      <w:proofErr w:type="spellStart"/>
      <w:r w:rsidRPr="0047049F">
        <w:rPr>
          <w:rFonts w:ascii="Arial" w:hAnsi="Arial" w:cs="Arial"/>
          <w:sz w:val="20"/>
          <w:szCs w:val="20"/>
          <w:lang w:val="en-US"/>
        </w:rPr>
        <w:t>financieros</w:t>
      </w:r>
      <w:proofErr w:type="spellEnd"/>
      <w:r w:rsidRPr="0047049F">
        <w:rPr>
          <w:rFonts w:ascii="Arial" w:hAnsi="Arial" w:cs="Arial"/>
          <w:sz w:val="20"/>
          <w:szCs w:val="20"/>
          <w:lang w:val="en-US"/>
        </w:rPr>
        <w:t>:</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Efectivo y otros activos líquidos equivalentes.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Créditos por operaciones comerciales: clientes y deudores varios;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Créditos a terceros: tales como los préstamos y créditos financieros concedidos, incluidos los surgidos de la venta de activos no corrientes;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Valores representativos de deuda de otras empresas adquiridos: tales como las obligaciones, bonos y pagarés;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Instrumentos de patrimonio de otras empresas adquiridos: acciones, participaciones en instituciones de inversión colectiva y otros instrumentos de patrimonio;</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Derivados con valoración favorable para la empresa: entre ellos, futuros, opciones, permutas financieras y compraventa de moneda extranjera a plazo, y</w:t>
      </w:r>
    </w:p>
    <w:p w:rsid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Otros activos financieros: tales como depósitos en entidades de crédito, anticipos y créditos al personal, fianzas y depósitos constituidos, dividendos a cobrar y desembolsos exigidos sobre instrumentos de patrimonio propio.</w:t>
      </w:r>
    </w:p>
    <w:p w:rsidR="0089337E" w:rsidRPr="0047049F" w:rsidRDefault="0089337E" w:rsidP="0047049F">
      <w:pPr>
        <w:numPr>
          <w:ilvl w:val="0"/>
          <w:numId w:val="5"/>
        </w:numPr>
        <w:jc w:val="both"/>
        <w:rPr>
          <w:rFonts w:ascii="Arial" w:hAnsi="Arial" w:cs="Arial"/>
          <w:sz w:val="20"/>
          <w:szCs w:val="20"/>
        </w:rPr>
      </w:pPr>
    </w:p>
    <w:p w:rsidR="0047049F" w:rsidRPr="0047049F" w:rsidRDefault="0047049F" w:rsidP="0047049F">
      <w:pPr>
        <w:ind w:firstLine="708"/>
        <w:jc w:val="both"/>
        <w:rPr>
          <w:rFonts w:ascii="Arial" w:hAnsi="Arial" w:cs="Arial"/>
          <w:sz w:val="20"/>
          <w:szCs w:val="20"/>
          <w:lang w:val="en-US"/>
        </w:rPr>
      </w:pPr>
      <w:r w:rsidRPr="0047049F">
        <w:rPr>
          <w:rFonts w:ascii="Arial" w:hAnsi="Arial" w:cs="Arial"/>
          <w:sz w:val="20"/>
          <w:szCs w:val="20"/>
          <w:lang w:val="en-US"/>
        </w:rPr>
        <w:lastRenderedPageBreak/>
        <w:t xml:space="preserve">b) </w:t>
      </w:r>
      <w:proofErr w:type="spellStart"/>
      <w:r w:rsidRPr="0047049F">
        <w:rPr>
          <w:rFonts w:ascii="Arial" w:hAnsi="Arial" w:cs="Arial"/>
          <w:sz w:val="20"/>
          <w:szCs w:val="20"/>
          <w:lang w:val="en-US"/>
        </w:rPr>
        <w:t>Pasivos</w:t>
      </w:r>
      <w:proofErr w:type="spellEnd"/>
      <w:r w:rsidRPr="0047049F">
        <w:rPr>
          <w:rFonts w:ascii="Arial" w:hAnsi="Arial" w:cs="Arial"/>
          <w:sz w:val="20"/>
          <w:szCs w:val="20"/>
          <w:lang w:val="en-US"/>
        </w:rPr>
        <w:t xml:space="preserve"> </w:t>
      </w:r>
      <w:proofErr w:type="spellStart"/>
      <w:r w:rsidRPr="0047049F">
        <w:rPr>
          <w:rFonts w:ascii="Arial" w:hAnsi="Arial" w:cs="Arial"/>
          <w:sz w:val="20"/>
          <w:szCs w:val="20"/>
          <w:lang w:val="en-US"/>
        </w:rPr>
        <w:t>financieros</w:t>
      </w:r>
      <w:proofErr w:type="spellEnd"/>
      <w:r w:rsidRPr="0047049F">
        <w:rPr>
          <w:rFonts w:ascii="Arial" w:hAnsi="Arial" w:cs="Arial"/>
          <w:sz w:val="20"/>
          <w:szCs w:val="20"/>
          <w:lang w:val="en-US"/>
        </w:rPr>
        <w:t>:</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Débitos por operaciones comerciales: proveedores  y acreedores varios;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Deudas con entidades de crédito;</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Obligaciones y otros valores negociables emitidos: tales como bonos y pagarés;</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Derivados con valoración desfavorable para la empresa: entre ellos, futuros, opciones, permutas financieras y compraventa de moneda extranjera a plazo;</w:t>
      </w:r>
    </w:p>
    <w:p w:rsidR="0047049F" w:rsidRPr="0047049F" w:rsidRDefault="0047049F" w:rsidP="0047049F">
      <w:pPr>
        <w:numPr>
          <w:ilvl w:val="0"/>
          <w:numId w:val="5"/>
        </w:numPr>
        <w:jc w:val="both"/>
        <w:rPr>
          <w:rFonts w:ascii="Arial" w:hAnsi="Arial" w:cs="Arial"/>
          <w:sz w:val="20"/>
          <w:szCs w:val="20"/>
          <w:lang w:val="en-US"/>
        </w:rPr>
      </w:pPr>
      <w:proofErr w:type="spellStart"/>
      <w:r w:rsidRPr="0047049F">
        <w:rPr>
          <w:rFonts w:ascii="Arial" w:hAnsi="Arial" w:cs="Arial"/>
          <w:sz w:val="20"/>
          <w:szCs w:val="20"/>
          <w:lang w:val="en-US"/>
        </w:rPr>
        <w:t>Deudas</w:t>
      </w:r>
      <w:proofErr w:type="spellEnd"/>
      <w:r w:rsidRPr="0047049F">
        <w:rPr>
          <w:rFonts w:ascii="Arial" w:hAnsi="Arial" w:cs="Arial"/>
          <w:sz w:val="20"/>
          <w:szCs w:val="20"/>
          <w:lang w:val="en-US"/>
        </w:rPr>
        <w:t xml:space="preserve"> con </w:t>
      </w:r>
      <w:proofErr w:type="spellStart"/>
      <w:r w:rsidRPr="0047049F">
        <w:rPr>
          <w:rFonts w:ascii="Arial" w:hAnsi="Arial" w:cs="Arial"/>
          <w:sz w:val="20"/>
          <w:szCs w:val="20"/>
          <w:lang w:val="en-US"/>
        </w:rPr>
        <w:t>características</w:t>
      </w:r>
      <w:proofErr w:type="spellEnd"/>
      <w:r w:rsidRPr="0047049F">
        <w:rPr>
          <w:rFonts w:ascii="Arial" w:hAnsi="Arial" w:cs="Arial"/>
          <w:sz w:val="20"/>
          <w:szCs w:val="20"/>
          <w:lang w:val="en-US"/>
        </w:rPr>
        <w:t xml:space="preserve"> </w:t>
      </w:r>
      <w:proofErr w:type="spellStart"/>
      <w:r w:rsidRPr="0047049F">
        <w:rPr>
          <w:rFonts w:ascii="Arial" w:hAnsi="Arial" w:cs="Arial"/>
          <w:sz w:val="20"/>
          <w:szCs w:val="20"/>
          <w:lang w:val="en-US"/>
        </w:rPr>
        <w:t>especiales</w:t>
      </w:r>
      <w:proofErr w:type="spellEnd"/>
      <w:r w:rsidRPr="0047049F">
        <w:rPr>
          <w:rFonts w:ascii="Arial" w:hAnsi="Arial" w:cs="Arial"/>
          <w:sz w:val="20"/>
          <w:szCs w:val="20"/>
          <w:lang w:val="en-US"/>
        </w:rPr>
        <w:t>, y</w:t>
      </w:r>
    </w:p>
    <w:p w:rsidR="0047049F" w:rsidRPr="0047049F" w:rsidRDefault="0047049F" w:rsidP="0047049F">
      <w:pPr>
        <w:numPr>
          <w:ilvl w:val="0"/>
          <w:numId w:val="5"/>
        </w:numPr>
        <w:jc w:val="both"/>
        <w:rPr>
          <w:rFonts w:ascii="Arial" w:hAnsi="Arial" w:cs="Arial"/>
          <w:sz w:val="20"/>
          <w:szCs w:val="20"/>
        </w:rPr>
      </w:pPr>
      <w:r w:rsidRPr="0047049F">
        <w:rPr>
          <w:rFonts w:ascii="Arial" w:hAnsi="Arial" w:cs="Arial"/>
          <w:sz w:val="20"/>
          <w:szCs w:val="2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47049F" w:rsidRPr="0047049F" w:rsidRDefault="0047049F" w:rsidP="0047049F">
      <w:pPr>
        <w:jc w:val="both"/>
        <w:rPr>
          <w:rFonts w:ascii="Arial" w:hAnsi="Arial" w:cs="Arial"/>
          <w:sz w:val="20"/>
          <w:szCs w:val="20"/>
        </w:rPr>
      </w:pPr>
      <w:r w:rsidRPr="0047049F">
        <w:rPr>
          <w:rFonts w:ascii="Arial" w:hAnsi="Arial" w:cs="Arial"/>
          <w:sz w:val="20"/>
          <w:szCs w:val="20"/>
        </w:rPr>
        <w:t>c) Instrumentos de patrimonio propio: todos los instrumentos financieros que se incluyen dentro de los fondos propios, tal como las acciones ordinarias emitidas</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3.</w:t>
      </w:r>
      <w:r w:rsidR="0089337E">
        <w:rPr>
          <w:rFonts w:ascii="Arial" w:hAnsi="Arial" w:cs="Arial"/>
          <w:sz w:val="20"/>
          <w:szCs w:val="20"/>
          <w:u w:val="single"/>
        </w:rPr>
        <w:t>3</w:t>
      </w:r>
      <w:r w:rsidRPr="0047049F">
        <w:rPr>
          <w:rFonts w:ascii="Arial" w:hAnsi="Arial" w:cs="Arial"/>
          <w:sz w:val="20"/>
          <w:szCs w:val="20"/>
          <w:u w:val="single"/>
        </w:rPr>
        <w:t>.1. Inversiones financieras a largo y corto plazo</w:t>
      </w:r>
    </w:p>
    <w:p w:rsidR="0047049F" w:rsidRPr="0047049F" w:rsidRDefault="0047049F" w:rsidP="0047049F">
      <w:pPr>
        <w:jc w:val="both"/>
        <w:rPr>
          <w:rFonts w:ascii="Arial" w:hAnsi="Arial" w:cs="Arial"/>
          <w:sz w:val="20"/>
          <w:szCs w:val="20"/>
        </w:rPr>
      </w:pPr>
      <w:r w:rsidRPr="0047049F">
        <w:rPr>
          <w:rFonts w:ascii="Arial" w:hAnsi="Arial" w:cs="Arial"/>
          <w:sz w:val="20"/>
          <w:szCs w:val="20"/>
          <w:u w:val="single"/>
        </w:rPr>
        <w:t>Préstamos y cuentas por cobrar</w:t>
      </w:r>
      <w:r w:rsidRPr="0047049F">
        <w:rPr>
          <w:rFonts w:ascii="Arial" w:hAnsi="Arial" w:cs="Arial"/>
          <w:sz w:val="20"/>
          <w:szCs w:val="20"/>
        </w:rPr>
        <w:t>: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Agrupación registra los correspondientes deterioros por la diferencia existente entre el importe a recuperar de las cuentas por cobrar y el valor en libros por el que se encuentran registradas.</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u w:val="single"/>
        </w:rPr>
        <w:t>Inversiones mantenidas hasta su vencimiento</w:t>
      </w:r>
      <w:r w:rsidRPr="0047049F">
        <w:rPr>
          <w:rFonts w:ascii="Arial" w:hAnsi="Arial" w:cs="Arial"/>
          <w:sz w:val="20"/>
          <w:szCs w:val="20"/>
        </w:rPr>
        <w:t>: aquellos valores representativos de deuda, con una fecha de vencimiento fijada, cobros de cuantía determinada o determinable, que se negocien en un mercado activo y que la Sociedad tiene intención y capacidad de conservar hasta su vencimiento.  Se contabilizan a su coste amortizado.</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u w:val="single"/>
        </w:rPr>
        <w:t>Activos financieros registrados a valor razonable con cambios en resultados:</w:t>
      </w:r>
      <w:r w:rsidRPr="0047049F">
        <w:rPr>
          <w:rFonts w:ascii="Arial" w:hAnsi="Arial" w:cs="Arial"/>
          <w:sz w:val="20"/>
          <w:szCs w:val="20"/>
        </w:rPr>
        <w:t xml:space="preserve"> La </w:t>
      </w:r>
      <w:r>
        <w:rPr>
          <w:rFonts w:ascii="Arial" w:hAnsi="Arial" w:cs="Arial"/>
          <w:sz w:val="20"/>
          <w:szCs w:val="20"/>
        </w:rPr>
        <w:t>Sociedad</w:t>
      </w:r>
      <w:r w:rsidRPr="0047049F">
        <w:rPr>
          <w:rFonts w:ascii="Arial" w:hAnsi="Arial" w:cs="Arial"/>
          <w:sz w:val="20"/>
          <w:szCs w:val="20"/>
        </w:rPr>
        <w:t xml:space="preserve"> clasifica los activos y pasivos financieros a valor razonable con cambios en la cuenta de pérdidas y ganancias en el momento de su reconocimiento inicial sólo si:</w:t>
      </w:r>
    </w:p>
    <w:p w:rsidR="0047049F" w:rsidRPr="0047049F" w:rsidRDefault="0047049F" w:rsidP="0047049F">
      <w:pPr>
        <w:numPr>
          <w:ilvl w:val="2"/>
          <w:numId w:val="7"/>
        </w:numPr>
        <w:jc w:val="both"/>
        <w:rPr>
          <w:rFonts w:ascii="Arial" w:hAnsi="Arial" w:cs="Arial"/>
          <w:sz w:val="20"/>
          <w:szCs w:val="20"/>
        </w:rPr>
      </w:pPr>
      <w:r w:rsidRPr="0047049F">
        <w:rPr>
          <w:rFonts w:ascii="Arial" w:hAnsi="Arial" w:cs="Arial"/>
          <w:sz w:val="20"/>
          <w:szCs w:val="20"/>
        </w:rPr>
        <w:t xml:space="preserve"> con ello se elimina o reduce significativamente la no correlación contable entre activos y pasivos financieros o</w:t>
      </w:r>
    </w:p>
    <w:p w:rsidR="0047049F" w:rsidRPr="0047049F" w:rsidRDefault="0047049F" w:rsidP="0047049F">
      <w:pPr>
        <w:numPr>
          <w:ilvl w:val="2"/>
          <w:numId w:val="7"/>
        </w:numPr>
        <w:jc w:val="both"/>
        <w:rPr>
          <w:rFonts w:ascii="Arial" w:hAnsi="Arial" w:cs="Arial"/>
          <w:sz w:val="20"/>
          <w:szCs w:val="20"/>
        </w:rPr>
      </w:pPr>
      <w:r w:rsidRPr="0047049F">
        <w:rPr>
          <w:rFonts w:ascii="Arial" w:hAnsi="Arial" w:cs="Arial"/>
          <w:sz w:val="20"/>
          <w:szCs w:val="20"/>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no reclasifica ningún activo o pasivo financiero de o a esta categoría mientras esté reconocido en el balance de situación, salvo cuando proceda calificar el activo como inversión en empresas del grupo, asociadas o </w:t>
      </w:r>
      <w:proofErr w:type="spellStart"/>
      <w:r w:rsidRPr="0047049F">
        <w:rPr>
          <w:rFonts w:ascii="Arial" w:hAnsi="Arial" w:cs="Arial"/>
          <w:sz w:val="20"/>
          <w:szCs w:val="20"/>
        </w:rPr>
        <w:t>multigrupo</w:t>
      </w:r>
      <w:proofErr w:type="spellEnd"/>
      <w:r w:rsidRPr="0047049F">
        <w:rPr>
          <w:rFonts w:ascii="Arial" w:hAnsi="Arial" w:cs="Arial"/>
          <w:sz w:val="20"/>
          <w:szCs w:val="20"/>
        </w:rPr>
        <w:t>.</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 xml:space="preserve">Las inversiones en empresas del grupo, asociadas y </w:t>
      </w:r>
      <w:proofErr w:type="spellStart"/>
      <w:r w:rsidRPr="0047049F">
        <w:rPr>
          <w:rFonts w:ascii="Arial" w:hAnsi="Arial" w:cs="Arial"/>
          <w:sz w:val="20"/>
          <w:szCs w:val="20"/>
          <w:u w:val="single"/>
        </w:rPr>
        <w:t>multigrupo</w:t>
      </w:r>
      <w:proofErr w:type="spellEnd"/>
      <w:r w:rsidRPr="0047049F">
        <w:rPr>
          <w:rFonts w:ascii="Arial" w:hAnsi="Arial" w:cs="Arial"/>
          <w:sz w:val="20"/>
          <w:szCs w:val="20"/>
          <w:u w:val="single"/>
        </w:rPr>
        <w:t xml:space="preserve">: </w:t>
      </w:r>
    </w:p>
    <w:p w:rsidR="0047049F" w:rsidRPr="0047049F" w:rsidRDefault="0047049F" w:rsidP="0047049F">
      <w:pPr>
        <w:jc w:val="both"/>
        <w:rPr>
          <w:rFonts w:ascii="Arial" w:hAnsi="Arial" w:cs="Arial"/>
          <w:sz w:val="20"/>
          <w:szCs w:val="20"/>
        </w:rPr>
      </w:pPr>
      <w:r w:rsidRPr="0047049F">
        <w:rPr>
          <w:rFonts w:ascii="Arial" w:hAnsi="Arial" w:cs="Arial"/>
          <w:sz w:val="20"/>
          <w:szCs w:val="20"/>
        </w:rPr>
        <w:t>Inversiones disponibles para la venta: son el resto de inversiones que no entran dentro de las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rsidR="0047049F" w:rsidRPr="0047049F" w:rsidRDefault="0047049F" w:rsidP="0047049F">
      <w:pPr>
        <w:jc w:val="both"/>
        <w:rPr>
          <w:rFonts w:ascii="Arial" w:hAnsi="Arial" w:cs="Arial"/>
          <w:b/>
          <w:i/>
          <w:sz w:val="20"/>
          <w:szCs w:val="20"/>
        </w:rPr>
      </w:pPr>
    </w:p>
    <w:p w:rsidR="0047049F" w:rsidRPr="0047049F" w:rsidRDefault="0047049F" w:rsidP="0047049F">
      <w:pPr>
        <w:jc w:val="both"/>
        <w:rPr>
          <w:rFonts w:ascii="Arial" w:hAnsi="Arial" w:cs="Arial"/>
          <w:b/>
          <w:i/>
          <w:sz w:val="20"/>
          <w:szCs w:val="20"/>
        </w:rPr>
      </w:pPr>
      <w:r w:rsidRPr="0047049F">
        <w:rPr>
          <w:rFonts w:ascii="Arial" w:hAnsi="Arial" w:cs="Arial"/>
          <w:b/>
          <w:i/>
          <w:sz w:val="20"/>
          <w:szCs w:val="20"/>
        </w:rPr>
        <w:t>Intereses y  dividendos r</w:t>
      </w:r>
      <w:r>
        <w:rPr>
          <w:rFonts w:ascii="Arial" w:hAnsi="Arial" w:cs="Arial"/>
          <w:b/>
          <w:i/>
          <w:sz w:val="20"/>
          <w:szCs w:val="20"/>
        </w:rPr>
        <w:t>ecibidos de activos financieros</w:t>
      </w: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w:t>
      </w:r>
      <w:r w:rsidRPr="0047049F">
        <w:rPr>
          <w:rFonts w:ascii="Arial" w:hAnsi="Arial" w:cs="Arial"/>
          <w:sz w:val="20"/>
          <w:szCs w:val="20"/>
        </w:rPr>
        <w:lastRenderedPageBreak/>
        <w:t xml:space="preserve">procedentes de inversiones en instrumentos de patrimonio se reconocen cuando han surgido los derechos para la Sociedad a su percepción. </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47049F" w:rsidRPr="0047049F" w:rsidRDefault="0047049F" w:rsidP="0047049F">
      <w:pPr>
        <w:jc w:val="both"/>
        <w:rPr>
          <w:rFonts w:ascii="Arial" w:hAnsi="Arial" w:cs="Arial"/>
          <w:b/>
          <w:i/>
          <w:sz w:val="20"/>
          <w:szCs w:val="20"/>
        </w:rPr>
      </w:pPr>
    </w:p>
    <w:p w:rsidR="0047049F" w:rsidRPr="0047049F" w:rsidRDefault="0047049F" w:rsidP="0047049F">
      <w:pPr>
        <w:jc w:val="both"/>
        <w:rPr>
          <w:rFonts w:ascii="Arial" w:hAnsi="Arial" w:cs="Arial"/>
          <w:b/>
          <w:i/>
          <w:sz w:val="20"/>
          <w:szCs w:val="20"/>
        </w:rPr>
      </w:pPr>
      <w:r>
        <w:rPr>
          <w:rFonts w:ascii="Arial" w:hAnsi="Arial" w:cs="Arial"/>
          <w:b/>
          <w:i/>
          <w:sz w:val="20"/>
          <w:szCs w:val="20"/>
        </w:rPr>
        <w:t>Baja de activos financieros</w:t>
      </w: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47049F" w:rsidRPr="0047049F" w:rsidRDefault="0047049F" w:rsidP="0047049F">
      <w:pPr>
        <w:jc w:val="both"/>
        <w:rPr>
          <w:rFonts w:ascii="Arial" w:hAnsi="Arial" w:cs="Arial"/>
          <w:sz w:val="20"/>
          <w:szCs w:val="20"/>
        </w:rPr>
      </w:pPr>
      <w:r w:rsidRPr="0047049F">
        <w:rPr>
          <w:rFonts w:ascii="Arial" w:hAnsi="Arial" w:cs="Arial"/>
          <w:sz w:val="20"/>
          <w:szCs w:val="20"/>
        </w:rPr>
        <w:t>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w:t>
      </w:r>
    </w:p>
    <w:p w:rsidR="0047049F" w:rsidRPr="0047049F" w:rsidRDefault="0047049F" w:rsidP="0047049F">
      <w:pPr>
        <w:jc w:val="both"/>
        <w:rPr>
          <w:rFonts w:ascii="Arial" w:hAnsi="Arial" w:cs="Arial"/>
          <w:sz w:val="20"/>
          <w:szCs w:val="20"/>
        </w:rPr>
      </w:pPr>
      <w:r w:rsidRPr="0047049F">
        <w:rPr>
          <w:rFonts w:ascii="Arial" w:hAnsi="Arial" w:cs="Arial"/>
          <w:sz w:val="20"/>
          <w:szCs w:val="20"/>
        </w:rPr>
        <w:t>Por el contrario, la Agrupación no da de baja los activos financieros, y reconoce un pasivo financiero por un importe igual a la contraprestación recibida, en las cesiones de activos financieros en las que se retenga sustancialmente los riesgos y beneficios inherentes a su propiedad.</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3.</w:t>
      </w:r>
      <w:r w:rsidR="0089337E">
        <w:rPr>
          <w:rFonts w:ascii="Arial" w:hAnsi="Arial" w:cs="Arial"/>
          <w:sz w:val="20"/>
          <w:szCs w:val="20"/>
          <w:u w:val="single"/>
        </w:rPr>
        <w:t>3</w:t>
      </w:r>
      <w:r w:rsidRPr="0047049F">
        <w:rPr>
          <w:rFonts w:ascii="Arial" w:hAnsi="Arial" w:cs="Arial"/>
          <w:sz w:val="20"/>
          <w:szCs w:val="20"/>
          <w:u w:val="single"/>
        </w:rPr>
        <w:t>.2. Pasivos financieros</w:t>
      </w:r>
    </w:p>
    <w:p w:rsidR="0047049F" w:rsidRPr="0047049F" w:rsidRDefault="0047049F" w:rsidP="0047049F">
      <w:pPr>
        <w:jc w:val="both"/>
        <w:rPr>
          <w:rFonts w:ascii="Arial" w:hAnsi="Arial" w:cs="Arial"/>
          <w:sz w:val="20"/>
          <w:szCs w:val="20"/>
        </w:rPr>
      </w:pPr>
      <w:r w:rsidRPr="0047049F">
        <w:rPr>
          <w:rFonts w:ascii="Arial" w:hAnsi="Arial" w:cs="Arial"/>
          <w:sz w:val="20"/>
          <w:szCs w:val="20"/>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Las cuentas a pagar se registran inicialmente a su coste de mercado y posteriormente son valoradas al coste amortizado utilizando el método de la tasa de interés efectivo. </w:t>
      </w:r>
    </w:p>
    <w:p w:rsidR="0047049F" w:rsidRPr="0047049F" w:rsidRDefault="0047049F" w:rsidP="0047049F">
      <w:pPr>
        <w:jc w:val="both"/>
        <w:rPr>
          <w:rFonts w:ascii="Arial" w:hAnsi="Arial" w:cs="Arial"/>
          <w:b/>
          <w:i/>
          <w:sz w:val="20"/>
          <w:szCs w:val="20"/>
          <w:u w:val="single"/>
        </w:rPr>
      </w:pPr>
    </w:p>
    <w:p w:rsidR="0047049F" w:rsidRPr="0047049F" w:rsidRDefault="0047049F" w:rsidP="0047049F">
      <w:pPr>
        <w:jc w:val="both"/>
        <w:rPr>
          <w:rFonts w:ascii="Arial" w:hAnsi="Arial" w:cs="Arial"/>
          <w:b/>
          <w:i/>
          <w:sz w:val="20"/>
          <w:szCs w:val="20"/>
          <w:u w:val="single"/>
        </w:rPr>
      </w:pPr>
      <w:r w:rsidRPr="0047049F">
        <w:rPr>
          <w:rFonts w:ascii="Arial" w:hAnsi="Arial" w:cs="Arial"/>
          <w:b/>
          <w:i/>
          <w:sz w:val="20"/>
          <w:szCs w:val="20"/>
          <w:u w:val="single"/>
        </w:rPr>
        <w:t>Fianzas entregadas</w:t>
      </w:r>
    </w:p>
    <w:p w:rsidR="0047049F" w:rsidRPr="0047049F" w:rsidRDefault="0047049F" w:rsidP="0047049F">
      <w:pPr>
        <w:jc w:val="both"/>
        <w:rPr>
          <w:rFonts w:ascii="Arial" w:hAnsi="Arial" w:cs="Arial"/>
          <w:sz w:val="20"/>
          <w:szCs w:val="20"/>
        </w:rPr>
      </w:pPr>
      <w:r w:rsidRPr="0047049F">
        <w:rPr>
          <w:rFonts w:ascii="Arial" w:hAnsi="Arial" w:cs="Arial"/>
          <w:sz w:val="20"/>
          <w:szCs w:val="20"/>
        </w:rPr>
        <w:t>Los depósitos o fianzas constituidas en garantía de determinadas obligaciones, se valoran por el importe efectivamente satisfecho, que no difiere significativamente de su valor razonable.</w:t>
      </w:r>
    </w:p>
    <w:p w:rsidR="0047049F" w:rsidRPr="0047049F" w:rsidRDefault="0047049F" w:rsidP="0047049F">
      <w:pPr>
        <w:jc w:val="both"/>
        <w:rPr>
          <w:rFonts w:ascii="Arial" w:hAnsi="Arial" w:cs="Arial"/>
          <w:b/>
          <w:i/>
          <w:sz w:val="20"/>
          <w:szCs w:val="20"/>
          <w:u w:val="single"/>
        </w:rPr>
      </w:pPr>
    </w:p>
    <w:p w:rsidR="0047049F" w:rsidRPr="0047049F" w:rsidRDefault="0047049F" w:rsidP="0047049F">
      <w:pPr>
        <w:jc w:val="both"/>
        <w:rPr>
          <w:rFonts w:ascii="Arial" w:hAnsi="Arial" w:cs="Arial"/>
          <w:b/>
          <w:i/>
          <w:sz w:val="20"/>
          <w:szCs w:val="20"/>
          <w:u w:val="single"/>
        </w:rPr>
      </w:pPr>
      <w:r w:rsidRPr="0047049F">
        <w:rPr>
          <w:rFonts w:ascii="Arial" w:hAnsi="Arial" w:cs="Arial"/>
          <w:b/>
          <w:i/>
          <w:sz w:val="20"/>
          <w:szCs w:val="20"/>
          <w:u w:val="single"/>
        </w:rPr>
        <w:t>Valor razonable</w:t>
      </w:r>
    </w:p>
    <w:p w:rsidR="0047049F" w:rsidRPr="0047049F" w:rsidRDefault="0047049F" w:rsidP="0047049F">
      <w:pPr>
        <w:jc w:val="both"/>
        <w:rPr>
          <w:rFonts w:ascii="Arial" w:hAnsi="Arial" w:cs="Arial"/>
          <w:sz w:val="20"/>
          <w:szCs w:val="20"/>
        </w:rPr>
      </w:pPr>
      <w:r w:rsidRPr="0047049F">
        <w:rPr>
          <w:rFonts w:ascii="Arial" w:hAnsi="Arial" w:cs="Arial"/>
          <w:sz w:val="20"/>
          <w:szCs w:val="20"/>
        </w:rPr>
        <w:t>El valor razonable es el importe por el que puede ser intercambiado un activo o liquidado un pasivo, entre partes interesadas y debidamente informadas, que realicen una transacción en condiciones de independencia mutua.</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Con carácter general, en la valoración de instrumentos financieros valorados a valor razonable, la </w:t>
      </w:r>
      <w:r>
        <w:rPr>
          <w:rFonts w:ascii="Arial" w:hAnsi="Arial" w:cs="Arial"/>
          <w:sz w:val="20"/>
          <w:szCs w:val="20"/>
        </w:rPr>
        <w:t>Sociedad</w:t>
      </w:r>
      <w:r w:rsidRPr="0047049F">
        <w:rPr>
          <w:rFonts w:ascii="Arial" w:hAnsi="Arial" w:cs="Arial"/>
          <w:sz w:val="20"/>
          <w:szCs w:val="20"/>
        </w:rPr>
        <w:t xml:space="preserve">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rsidR="0047049F" w:rsidRPr="0047049F" w:rsidRDefault="0047049F" w:rsidP="0047049F">
      <w:pPr>
        <w:jc w:val="both"/>
        <w:rPr>
          <w:rFonts w:ascii="Arial" w:hAnsi="Arial" w:cs="Arial"/>
          <w:sz w:val="20"/>
          <w:szCs w:val="20"/>
        </w:rPr>
      </w:pPr>
      <w:r w:rsidRPr="0047049F">
        <w:rPr>
          <w:rFonts w:ascii="Arial" w:hAnsi="Arial" w:cs="Arial"/>
          <w:sz w:val="20"/>
          <w:szCs w:val="20"/>
        </w:rPr>
        <w:t>Se asume que el valor en libros de los créditos y débitos por operaciones comerciales se aproxima a su valor razonable.</w:t>
      </w:r>
    </w:p>
    <w:p w:rsidR="0047049F" w:rsidRPr="0047049F" w:rsidRDefault="0047049F" w:rsidP="0047049F">
      <w:pPr>
        <w:jc w:val="both"/>
        <w:rPr>
          <w:rFonts w:ascii="Arial" w:hAnsi="Arial" w:cs="Arial"/>
          <w:i/>
          <w:sz w:val="20"/>
          <w:szCs w:val="20"/>
        </w:rPr>
      </w:pPr>
    </w:p>
    <w:p w:rsidR="0047049F" w:rsidRPr="0047049F" w:rsidRDefault="0047049F" w:rsidP="0047049F">
      <w:pPr>
        <w:jc w:val="both"/>
        <w:rPr>
          <w:rFonts w:ascii="Arial" w:hAnsi="Arial" w:cs="Arial"/>
          <w:sz w:val="20"/>
          <w:szCs w:val="20"/>
          <w:u w:val="single"/>
        </w:rPr>
      </w:pPr>
      <w:r w:rsidRPr="0047049F">
        <w:rPr>
          <w:rFonts w:ascii="Arial" w:hAnsi="Arial" w:cs="Arial"/>
          <w:sz w:val="20"/>
          <w:szCs w:val="20"/>
          <w:u w:val="single"/>
        </w:rPr>
        <w:t>3.</w:t>
      </w:r>
      <w:r w:rsidR="0089337E">
        <w:rPr>
          <w:rFonts w:ascii="Arial" w:hAnsi="Arial" w:cs="Arial"/>
          <w:sz w:val="20"/>
          <w:szCs w:val="20"/>
          <w:u w:val="single"/>
        </w:rPr>
        <w:t>3</w:t>
      </w:r>
      <w:r w:rsidRPr="0047049F">
        <w:rPr>
          <w:rFonts w:ascii="Arial" w:hAnsi="Arial" w:cs="Arial"/>
          <w:sz w:val="20"/>
          <w:szCs w:val="20"/>
          <w:u w:val="single"/>
        </w:rPr>
        <w:t xml:space="preserve">.3. Inversiones en empresas del grupo, </w:t>
      </w:r>
      <w:proofErr w:type="spellStart"/>
      <w:r w:rsidRPr="0047049F">
        <w:rPr>
          <w:rFonts w:ascii="Arial" w:hAnsi="Arial" w:cs="Arial"/>
          <w:sz w:val="20"/>
          <w:szCs w:val="20"/>
          <w:u w:val="single"/>
        </w:rPr>
        <w:t>multigrupo</w:t>
      </w:r>
      <w:proofErr w:type="spellEnd"/>
      <w:r w:rsidRPr="0047049F">
        <w:rPr>
          <w:rFonts w:ascii="Arial" w:hAnsi="Arial" w:cs="Arial"/>
          <w:sz w:val="20"/>
          <w:szCs w:val="20"/>
          <w:u w:val="single"/>
        </w:rPr>
        <w:t xml:space="preserve"> y asociadas</w:t>
      </w: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Las inversiones en empresas del grupo, </w:t>
      </w:r>
      <w:proofErr w:type="spellStart"/>
      <w:r w:rsidRPr="0047049F">
        <w:rPr>
          <w:rFonts w:ascii="Arial" w:hAnsi="Arial" w:cs="Arial"/>
          <w:sz w:val="20"/>
          <w:szCs w:val="20"/>
        </w:rPr>
        <w:t>multigrupo</w:t>
      </w:r>
      <w:proofErr w:type="spellEnd"/>
      <w:r w:rsidRPr="0047049F">
        <w:rPr>
          <w:rFonts w:ascii="Arial" w:hAnsi="Arial" w:cs="Arial"/>
          <w:sz w:val="20"/>
          <w:szCs w:val="20"/>
        </w:rPr>
        <w:t xml:space="preserve"> y asociadas, se valoran inicialmente por su coste, que equivale al valor razonable de la contraprestación entregada más los costes de transacción.</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Al menos al cierre del ejercicio, la </w:t>
      </w:r>
      <w:r>
        <w:rPr>
          <w:rFonts w:ascii="Arial" w:hAnsi="Arial" w:cs="Arial"/>
          <w:sz w:val="20"/>
          <w:szCs w:val="20"/>
        </w:rPr>
        <w:t>Sociedad</w:t>
      </w:r>
      <w:r w:rsidRPr="0047049F">
        <w:rPr>
          <w:rFonts w:ascii="Arial" w:hAnsi="Arial" w:cs="Arial"/>
          <w:sz w:val="20"/>
          <w:szCs w:val="20"/>
        </w:rPr>
        <w:t xml:space="preserve"> procede a evaluar si ha existido deterioro de valor de las inversiones. Las correcciones valorativas por deterioro y en su caso la reversión, se llevan como gasto o ingreso, respectivamente, en la cuenta de pérdidas y ganancias.</w:t>
      </w:r>
    </w:p>
    <w:p w:rsidR="0047049F" w:rsidRP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r w:rsidRPr="0047049F">
        <w:rPr>
          <w:rFonts w:ascii="Arial" w:hAnsi="Arial" w:cs="Arial"/>
          <w:sz w:val="20"/>
          <w:szCs w:val="20"/>
        </w:rPr>
        <w:t xml:space="preserve">La corrección por deterioro se aplicará siempre que exista evidencia objetiva de que el valor en libros de una inversión no será recuperable. Se entiende por valor recuperable, el mayor </w:t>
      </w:r>
      <w:r w:rsidRPr="0047049F">
        <w:rPr>
          <w:rFonts w:ascii="Arial" w:hAnsi="Arial" w:cs="Arial"/>
          <w:sz w:val="20"/>
          <w:szCs w:val="20"/>
        </w:rPr>
        <w:lastRenderedPageBreak/>
        <w:t>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47049F" w:rsidRPr="0047049F" w:rsidRDefault="0047049F" w:rsidP="0047049F">
      <w:pPr>
        <w:jc w:val="both"/>
        <w:rPr>
          <w:rFonts w:ascii="Arial" w:hAnsi="Arial" w:cs="Arial"/>
          <w:sz w:val="20"/>
          <w:szCs w:val="20"/>
        </w:rPr>
      </w:pPr>
    </w:p>
    <w:p w:rsidR="0047049F" w:rsidRDefault="0047049F" w:rsidP="0047049F">
      <w:pPr>
        <w:jc w:val="both"/>
        <w:rPr>
          <w:rFonts w:ascii="Arial" w:hAnsi="Arial" w:cs="Arial"/>
          <w:sz w:val="20"/>
          <w:szCs w:val="20"/>
        </w:rPr>
      </w:pPr>
      <w:r w:rsidRPr="0047049F">
        <w:rPr>
          <w:rFonts w:ascii="Arial" w:hAnsi="Arial" w:cs="Arial"/>
          <w:sz w:val="20"/>
          <w:szCs w:val="20"/>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47049F" w:rsidRDefault="0047049F" w:rsidP="0047049F">
      <w:pPr>
        <w:jc w:val="both"/>
        <w:rPr>
          <w:rFonts w:ascii="Arial" w:hAnsi="Arial" w:cs="Arial"/>
          <w:sz w:val="20"/>
          <w:szCs w:val="20"/>
        </w:rPr>
      </w:pPr>
    </w:p>
    <w:p w:rsidR="0047049F" w:rsidRPr="0047049F" w:rsidRDefault="0047049F" w:rsidP="0047049F">
      <w:pPr>
        <w:jc w:val="both"/>
        <w:rPr>
          <w:rFonts w:ascii="Arial" w:hAnsi="Arial" w:cs="Arial"/>
          <w:sz w:val="20"/>
          <w:szCs w:val="20"/>
        </w:rPr>
      </w:pPr>
    </w:p>
    <w:p w:rsidR="0047049F" w:rsidRPr="003D38C1" w:rsidRDefault="0047049F" w:rsidP="0047049F">
      <w:pPr>
        <w:jc w:val="both"/>
        <w:rPr>
          <w:rFonts w:ascii="Arial" w:hAnsi="Arial" w:cs="Arial"/>
          <w:bCs/>
          <w:iCs/>
          <w:sz w:val="20"/>
          <w:szCs w:val="20"/>
          <w:u w:val="single"/>
          <w:lang w:val="es-ES_tradnl"/>
        </w:rPr>
      </w:pPr>
      <w:bookmarkStart w:id="1" w:name="_Toc474495500"/>
      <w:r w:rsidRPr="003D38C1">
        <w:rPr>
          <w:rFonts w:ascii="Arial" w:hAnsi="Arial" w:cs="Arial"/>
          <w:bCs/>
          <w:iCs/>
          <w:sz w:val="20"/>
          <w:szCs w:val="20"/>
          <w:u w:val="single"/>
          <w:lang w:val="es-ES_tradnl"/>
        </w:rPr>
        <w:t>3.</w:t>
      </w:r>
      <w:r w:rsidR="0089337E" w:rsidRPr="003D38C1">
        <w:rPr>
          <w:rFonts w:ascii="Arial" w:hAnsi="Arial" w:cs="Arial"/>
          <w:bCs/>
          <w:iCs/>
          <w:sz w:val="20"/>
          <w:szCs w:val="20"/>
          <w:u w:val="single"/>
          <w:lang w:val="es-ES_tradnl"/>
        </w:rPr>
        <w:t>4</w:t>
      </w:r>
      <w:r w:rsidRPr="003D38C1">
        <w:rPr>
          <w:rFonts w:ascii="Arial" w:hAnsi="Arial" w:cs="Arial"/>
          <w:bCs/>
          <w:iCs/>
          <w:sz w:val="20"/>
          <w:szCs w:val="20"/>
          <w:u w:val="single"/>
          <w:lang w:val="es-ES_tradnl"/>
        </w:rPr>
        <w:t xml:space="preserve"> Transacciones en moneda extranjera</w:t>
      </w:r>
      <w:bookmarkEnd w:id="1"/>
    </w:p>
    <w:p w:rsidR="0047049F" w:rsidRPr="003D38C1" w:rsidRDefault="0047049F" w:rsidP="0047049F">
      <w:pPr>
        <w:jc w:val="both"/>
        <w:rPr>
          <w:rFonts w:ascii="Arial" w:hAnsi="Arial" w:cs="Arial"/>
          <w:b/>
          <w:bCs/>
          <w:iCs/>
          <w:sz w:val="20"/>
          <w:szCs w:val="20"/>
          <w:lang w:val="es-ES_tradnl"/>
        </w:rPr>
      </w:pPr>
    </w:p>
    <w:p w:rsidR="003D38C1" w:rsidRPr="003D38C1" w:rsidRDefault="003D38C1" w:rsidP="003D38C1">
      <w:pPr>
        <w:pStyle w:val="Textoindependiente"/>
        <w:contextualSpacing/>
        <w:jc w:val="both"/>
        <w:rPr>
          <w:rFonts w:cs="Arial"/>
          <w:b w:val="0"/>
          <w:sz w:val="20"/>
        </w:rPr>
      </w:pPr>
      <w:bookmarkStart w:id="2" w:name="_Toc474495501"/>
      <w:r w:rsidRPr="003D38C1">
        <w:rPr>
          <w:rFonts w:cs="Arial"/>
          <w:b w:val="0"/>
          <w:sz w:val="20"/>
        </w:rPr>
        <w:t>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w:t>
      </w:r>
      <w:r>
        <w:rPr>
          <w:rFonts w:cs="Arial"/>
          <w:b w:val="0"/>
          <w:sz w:val="20"/>
        </w:rPr>
        <w:t>.</w:t>
      </w:r>
      <w:r w:rsidRPr="003D38C1">
        <w:rPr>
          <w:rFonts w:cs="Arial"/>
          <w:b w:val="0"/>
          <w:sz w:val="20"/>
        </w:rPr>
        <w:t xml:space="preserve"> </w:t>
      </w:r>
    </w:p>
    <w:p w:rsidR="003D38C1" w:rsidRDefault="003D38C1" w:rsidP="003D38C1">
      <w:pPr>
        <w:pStyle w:val="Textoindependiente"/>
        <w:contextualSpacing/>
        <w:jc w:val="both"/>
        <w:rPr>
          <w:rFonts w:cs="Arial"/>
          <w:b w:val="0"/>
          <w:sz w:val="20"/>
        </w:rPr>
      </w:pPr>
      <w:r w:rsidRPr="003D38C1">
        <w:rPr>
          <w:rFonts w:cs="Arial"/>
          <w:b w:val="0"/>
          <w:sz w:val="20"/>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3D38C1" w:rsidRPr="003D38C1" w:rsidRDefault="003D38C1" w:rsidP="003D38C1">
      <w:pPr>
        <w:pStyle w:val="Textoindependiente"/>
        <w:contextualSpacing/>
        <w:jc w:val="both"/>
        <w:rPr>
          <w:rFonts w:cs="Arial"/>
          <w:b w:val="0"/>
          <w:sz w:val="20"/>
        </w:rPr>
      </w:pPr>
    </w:p>
    <w:p w:rsidR="00380FC3" w:rsidRPr="00380FC3" w:rsidRDefault="00380FC3" w:rsidP="003D38C1">
      <w:pPr>
        <w:jc w:val="both"/>
        <w:rPr>
          <w:rFonts w:ascii="Arial" w:hAnsi="Arial" w:cs="Arial"/>
          <w:bCs/>
          <w:iCs/>
          <w:sz w:val="20"/>
          <w:szCs w:val="20"/>
          <w:u w:val="single"/>
          <w:lang w:val="es-ES_tradnl"/>
        </w:rPr>
      </w:pPr>
      <w:r>
        <w:rPr>
          <w:rFonts w:ascii="Arial" w:hAnsi="Arial" w:cs="Arial"/>
          <w:bCs/>
          <w:iCs/>
          <w:sz w:val="20"/>
          <w:szCs w:val="20"/>
          <w:u w:val="single"/>
          <w:lang w:val="es-ES_tradnl"/>
        </w:rPr>
        <w:t>3.</w:t>
      </w:r>
      <w:r w:rsidR="0089337E">
        <w:rPr>
          <w:rFonts w:ascii="Arial" w:hAnsi="Arial" w:cs="Arial"/>
          <w:bCs/>
          <w:iCs/>
          <w:sz w:val="20"/>
          <w:szCs w:val="20"/>
          <w:u w:val="single"/>
          <w:lang w:val="es-ES_tradnl"/>
        </w:rPr>
        <w:t>5</w:t>
      </w:r>
      <w:r w:rsidRPr="00380FC3">
        <w:rPr>
          <w:rFonts w:ascii="Arial" w:hAnsi="Arial" w:cs="Arial"/>
          <w:bCs/>
          <w:iCs/>
          <w:sz w:val="20"/>
          <w:szCs w:val="20"/>
          <w:u w:val="single"/>
          <w:lang w:val="es-ES_tradnl"/>
        </w:rPr>
        <w:t xml:space="preserve"> Impuestos sobre beneficios</w:t>
      </w:r>
      <w:bookmarkEnd w:id="2"/>
    </w:p>
    <w:p w:rsidR="00380FC3" w:rsidRPr="00380FC3" w:rsidRDefault="00380FC3" w:rsidP="00380FC3">
      <w:pPr>
        <w:jc w:val="both"/>
        <w:rPr>
          <w:rFonts w:ascii="Arial" w:hAnsi="Arial" w:cs="Arial"/>
          <w:b/>
          <w:bCs/>
          <w:iCs/>
          <w:sz w:val="20"/>
          <w:szCs w:val="20"/>
          <w:lang w:val="es-ES_tradnl"/>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rsidR="00380FC3" w:rsidRPr="0089337E" w:rsidRDefault="00380FC3" w:rsidP="00380FC3">
      <w:pPr>
        <w:jc w:val="both"/>
        <w:rPr>
          <w:rFonts w:ascii="Arial" w:hAnsi="Arial" w:cs="Arial"/>
          <w:sz w:val="20"/>
          <w:szCs w:val="20"/>
          <w:u w:val="single"/>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Los activos por impuestos diferidos surgen, igualmente, como consecuencia de las bases imponibles negativas pendientes de compensar y de los créditos por deducciones fiscales generadas y no aplicadas.</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380FC3" w:rsidRPr="0089337E" w:rsidRDefault="00380FC3" w:rsidP="00380FC3">
      <w:pPr>
        <w:jc w:val="both"/>
        <w:rPr>
          <w:rFonts w:ascii="Arial" w:hAnsi="Arial" w:cs="Arial"/>
          <w:sz w:val="20"/>
          <w:szCs w:val="20"/>
        </w:rPr>
      </w:pPr>
    </w:p>
    <w:p w:rsidR="00380FC3" w:rsidRPr="0089337E" w:rsidRDefault="00380FC3" w:rsidP="00380FC3">
      <w:pPr>
        <w:jc w:val="both"/>
        <w:rPr>
          <w:rFonts w:ascii="Arial" w:hAnsi="Arial" w:cs="Arial"/>
          <w:sz w:val="20"/>
          <w:szCs w:val="20"/>
        </w:rPr>
      </w:pPr>
      <w:r w:rsidRPr="0089337E">
        <w:rPr>
          <w:rFonts w:ascii="Arial" w:hAnsi="Arial" w:cs="Arial"/>
          <w:sz w:val="20"/>
          <w:szCs w:val="20"/>
        </w:rPr>
        <w:lastRenderedPageBreak/>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380FC3" w:rsidRPr="0089337E" w:rsidRDefault="00380FC3" w:rsidP="00380FC3">
      <w:pPr>
        <w:jc w:val="both"/>
        <w:rPr>
          <w:rFonts w:ascii="Arial" w:hAnsi="Arial" w:cs="Arial"/>
          <w:sz w:val="20"/>
          <w:szCs w:val="20"/>
        </w:rPr>
      </w:pPr>
    </w:p>
    <w:p w:rsidR="00380FC3" w:rsidRDefault="00380FC3" w:rsidP="00380FC3">
      <w:pPr>
        <w:jc w:val="both"/>
        <w:rPr>
          <w:rFonts w:ascii="Arial" w:hAnsi="Arial" w:cs="Arial"/>
          <w:sz w:val="20"/>
          <w:szCs w:val="20"/>
        </w:rPr>
      </w:pPr>
      <w:r w:rsidRPr="0089337E">
        <w:rPr>
          <w:rFonts w:ascii="Arial" w:hAnsi="Arial" w:cs="Arial"/>
          <w:sz w:val="20"/>
          <w:szCs w:val="20"/>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bCs/>
          <w:iCs/>
          <w:sz w:val="20"/>
          <w:szCs w:val="20"/>
          <w:u w:val="single"/>
          <w:lang w:val="es-ES_tradnl"/>
        </w:rPr>
      </w:pPr>
      <w:bookmarkStart w:id="3" w:name="_Toc377380181"/>
      <w:bookmarkStart w:id="4" w:name="_Toc474495502"/>
      <w:r w:rsidRPr="00380FC3">
        <w:rPr>
          <w:rFonts w:ascii="Arial" w:hAnsi="Arial" w:cs="Arial"/>
          <w:bCs/>
          <w:iCs/>
          <w:sz w:val="20"/>
          <w:szCs w:val="20"/>
          <w:u w:val="single"/>
          <w:lang w:val="es-ES_tradnl"/>
        </w:rPr>
        <w:t>3.</w:t>
      </w:r>
      <w:r w:rsidR="0089337E">
        <w:rPr>
          <w:rFonts w:ascii="Arial" w:hAnsi="Arial" w:cs="Arial"/>
          <w:bCs/>
          <w:iCs/>
          <w:sz w:val="20"/>
          <w:szCs w:val="20"/>
          <w:u w:val="single"/>
          <w:lang w:val="es-ES_tradnl"/>
        </w:rPr>
        <w:t>6</w:t>
      </w:r>
      <w:r w:rsidRPr="00380FC3">
        <w:rPr>
          <w:rFonts w:ascii="Arial" w:hAnsi="Arial" w:cs="Arial"/>
          <w:bCs/>
          <w:iCs/>
          <w:sz w:val="20"/>
          <w:szCs w:val="20"/>
          <w:u w:val="single"/>
          <w:lang w:val="es-ES_tradnl"/>
        </w:rPr>
        <w:t xml:space="preserve"> Ingresos y gastos</w:t>
      </w:r>
      <w:bookmarkEnd w:id="3"/>
      <w:bookmarkEnd w:id="4"/>
    </w:p>
    <w:p w:rsidR="00380FC3" w:rsidRPr="00380FC3" w:rsidRDefault="00380FC3" w:rsidP="00380FC3">
      <w:pPr>
        <w:jc w:val="both"/>
        <w:rPr>
          <w:rFonts w:ascii="Arial" w:hAnsi="Arial" w:cs="Arial"/>
          <w:b/>
          <w:bCs/>
          <w:iCs/>
          <w:sz w:val="20"/>
          <w:szCs w:val="20"/>
          <w:lang w:val="es-ES_tradnl"/>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ingresos y gastos se imputan en función del criterio del devengo con independencia del momento en que se produce la corriente monetaria o financiera derivada de ellos.</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No obstante,  la Sociedad únicamente contabiliza los beneficios realizados a la fecha de cierre del ejercicio, en tanto que los riesgos y las pérdidas previsibles, aun siendo eventuales, se contabilizan tan pronto son conocidos.</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Agrupación incluye los intereses incorporados a los créditos comerciales con vencimiento no superior a un año que no tienen un tipo de interés contractual, cuando el efecto de no actualizar los flujos de efectivo no es significativo.</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descuentos concedidos a clientes se reconocen en el momento en que es probable que se van a cumplir las condiciones que determinan su concesión como una reducción de los ingresos por ventas.</w:t>
      </w:r>
    </w:p>
    <w:p w:rsidR="00380FC3" w:rsidRPr="00380FC3" w:rsidRDefault="00380FC3" w:rsidP="00380FC3">
      <w:pPr>
        <w:jc w:val="both"/>
        <w:rPr>
          <w:rFonts w:ascii="Arial" w:hAnsi="Arial" w:cs="Arial"/>
          <w:sz w:val="20"/>
          <w:szCs w:val="20"/>
        </w:rPr>
      </w:pPr>
    </w:p>
    <w:p w:rsidR="00380FC3" w:rsidRDefault="00380FC3" w:rsidP="00380FC3">
      <w:pPr>
        <w:jc w:val="both"/>
        <w:rPr>
          <w:rFonts w:ascii="Arial" w:hAnsi="Arial" w:cs="Arial"/>
          <w:sz w:val="20"/>
          <w:szCs w:val="20"/>
        </w:rPr>
      </w:pPr>
      <w:r w:rsidRPr="00380FC3">
        <w:rPr>
          <w:rFonts w:ascii="Arial" w:hAnsi="Arial" w:cs="Arial"/>
          <w:sz w:val="20"/>
          <w:szCs w:val="20"/>
        </w:rPr>
        <w:t>Los anticipos a cuenta de ventas futuras figuran v</w:t>
      </w:r>
      <w:r>
        <w:rPr>
          <w:rFonts w:ascii="Arial" w:hAnsi="Arial" w:cs="Arial"/>
          <w:sz w:val="20"/>
          <w:szCs w:val="20"/>
        </w:rPr>
        <w:t>alorados por el valor recibido.</w:t>
      </w:r>
    </w:p>
    <w:p w:rsid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p>
    <w:p w:rsidR="00380FC3" w:rsidRDefault="00380FC3" w:rsidP="00380FC3">
      <w:pPr>
        <w:jc w:val="both"/>
        <w:rPr>
          <w:rFonts w:ascii="Arial" w:hAnsi="Arial" w:cs="Arial"/>
          <w:bCs/>
          <w:iCs/>
          <w:sz w:val="20"/>
          <w:szCs w:val="20"/>
          <w:u w:val="single"/>
          <w:lang w:val="es-ES_tradnl"/>
        </w:rPr>
      </w:pPr>
      <w:bookmarkStart w:id="5" w:name="_Toc377380187"/>
      <w:bookmarkStart w:id="6" w:name="_Toc474495508"/>
      <w:r w:rsidRPr="0089337E">
        <w:rPr>
          <w:rFonts w:ascii="Arial" w:hAnsi="Arial" w:cs="Arial"/>
          <w:bCs/>
          <w:iCs/>
          <w:sz w:val="20"/>
          <w:szCs w:val="20"/>
          <w:u w:val="single"/>
          <w:lang w:val="es-ES_tradnl"/>
        </w:rPr>
        <w:t>3.</w:t>
      </w:r>
      <w:r w:rsidR="0030235B">
        <w:rPr>
          <w:rFonts w:ascii="Arial" w:hAnsi="Arial" w:cs="Arial"/>
          <w:bCs/>
          <w:iCs/>
          <w:sz w:val="20"/>
          <w:szCs w:val="20"/>
          <w:u w:val="single"/>
          <w:lang w:val="es-ES_tradnl"/>
        </w:rPr>
        <w:t>7</w:t>
      </w:r>
      <w:r w:rsidRPr="0089337E">
        <w:rPr>
          <w:rFonts w:ascii="Arial" w:hAnsi="Arial" w:cs="Arial"/>
          <w:sz w:val="20"/>
          <w:szCs w:val="20"/>
          <w:u w:val="single"/>
          <w:lang w:val="es-ES_tradnl"/>
        </w:rPr>
        <w:t xml:space="preserve"> </w:t>
      </w:r>
      <w:r w:rsidRPr="0089337E">
        <w:rPr>
          <w:rFonts w:ascii="Arial" w:hAnsi="Arial" w:cs="Arial"/>
          <w:bCs/>
          <w:iCs/>
          <w:sz w:val="20"/>
          <w:szCs w:val="20"/>
          <w:u w:val="single"/>
          <w:lang w:val="es-ES_tradnl"/>
        </w:rPr>
        <w:t>Criterios empleados en transacciones entre partes vinculadas</w:t>
      </w:r>
      <w:bookmarkEnd w:id="5"/>
      <w:bookmarkEnd w:id="6"/>
    </w:p>
    <w:p w:rsidR="00380FC3" w:rsidRPr="00380FC3" w:rsidRDefault="00380FC3" w:rsidP="00380FC3">
      <w:pPr>
        <w:jc w:val="both"/>
        <w:rPr>
          <w:rFonts w:ascii="Arial" w:hAnsi="Arial" w:cs="Arial"/>
          <w:bCs/>
          <w:iCs/>
          <w:sz w:val="20"/>
          <w:szCs w:val="20"/>
          <w:u w:val="single"/>
          <w:lang w:val="es-ES_tradnl"/>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lang w:val="en-US"/>
        </w:rPr>
      </w:pPr>
      <w:r w:rsidRPr="00380FC3">
        <w:rPr>
          <w:rFonts w:ascii="Arial" w:hAnsi="Arial" w:cs="Arial"/>
          <w:sz w:val="20"/>
          <w:szCs w:val="20"/>
        </w:rPr>
        <w:t xml:space="preserve">Esta norma de valoración afecta a las partes vinculadas que se explicitan en la Norma de elaboración de cuentas anuales 13ª del Plan General de Contabilidad. </w:t>
      </w:r>
      <w:r w:rsidRPr="00380FC3">
        <w:rPr>
          <w:rFonts w:ascii="Arial" w:hAnsi="Arial" w:cs="Arial"/>
          <w:sz w:val="20"/>
          <w:szCs w:val="20"/>
          <w:lang w:val="en-US"/>
        </w:rPr>
        <w:t xml:space="preserve">En </w:t>
      </w:r>
      <w:proofErr w:type="spellStart"/>
      <w:proofErr w:type="gramStart"/>
      <w:r w:rsidRPr="00380FC3">
        <w:rPr>
          <w:rFonts w:ascii="Arial" w:hAnsi="Arial" w:cs="Arial"/>
          <w:sz w:val="20"/>
          <w:szCs w:val="20"/>
          <w:lang w:val="en-US"/>
        </w:rPr>
        <w:t>este</w:t>
      </w:r>
      <w:proofErr w:type="spellEnd"/>
      <w:proofErr w:type="gramEnd"/>
      <w:r w:rsidRPr="00380FC3">
        <w:rPr>
          <w:rFonts w:ascii="Arial" w:hAnsi="Arial" w:cs="Arial"/>
          <w:sz w:val="20"/>
          <w:szCs w:val="20"/>
          <w:lang w:val="en-US"/>
        </w:rPr>
        <w:t xml:space="preserve"> </w:t>
      </w:r>
      <w:proofErr w:type="spellStart"/>
      <w:r w:rsidRPr="00380FC3">
        <w:rPr>
          <w:rFonts w:ascii="Arial" w:hAnsi="Arial" w:cs="Arial"/>
          <w:sz w:val="20"/>
          <w:szCs w:val="20"/>
          <w:lang w:val="en-US"/>
        </w:rPr>
        <w:t>sentido</w:t>
      </w:r>
      <w:proofErr w:type="spellEnd"/>
      <w:r w:rsidRPr="00380FC3">
        <w:rPr>
          <w:rFonts w:ascii="Arial" w:hAnsi="Arial" w:cs="Arial"/>
          <w:sz w:val="20"/>
          <w:szCs w:val="20"/>
          <w:lang w:val="en-US"/>
        </w:rPr>
        <w:t>:</w:t>
      </w:r>
    </w:p>
    <w:p w:rsidR="00380FC3" w:rsidRPr="00380FC3" w:rsidRDefault="00380FC3" w:rsidP="00380FC3">
      <w:pPr>
        <w:jc w:val="both"/>
        <w:rPr>
          <w:rFonts w:ascii="Arial" w:hAnsi="Arial" w:cs="Arial"/>
          <w:sz w:val="20"/>
          <w:szCs w:val="20"/>
          <w:lang w:val="en-US"/>
        </w:rPr>
      </w:pPr>
    </w:p>
    <w:p w:rsidR="00380FC3" w:rsidRPr="00380FC3" w:rsidRDefault="00380FC3" w:rsidP="00380FC3">
      <w:pPr>
        <w:numPr>
          <w:ilvl w:val="1"/>
          <w:numId w:val="4"/>
        </w:numPr>
        <w:jc w:val="both"/>
        <w:rPr>
          <w:rFonts w:ascii="Arial" w:hAnsi="Arial" w:cs="Arial"/>
          <w:sz w:val="20"/>
          <w:szCs w:val="20"/>
        </w:rPr>
      </w:pPr>
      <w:r w:rsidRPr="00380FC3">
        <w:rPr>
          <w:rFonts w:ascii="Arial" w:hAnsi="Arial" w:cs="Arial"/>
          <w:sz w:val="20"/>
          <w:szCs w:val="20"/>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rsidR="00380FC3" w:rsidRPr="00380FC3" w:rsidRDefault="00380FC3" w:rsidP="00380FC3">
      <w:pPr>
        <w:jc w:val="both"/>
        <w:rPr>
          <w:rFonts w:ascii="Arial" w:hAnsi="Arial" w:cs="Arial"/>
          <w:sz w:val="20"/>
          <w:szCs w:val="20"/>
        </w:rPr>
      </w:pPr>
    </w:p>
    <w:p w:rsidR="00380FC3" w:rsidRPr="00380FC3" w:rsidRDefault="00380FC3" w:rsidP="00380FC3">
      <w:pPr>
        <w:numPr>
          <w:ilvl w:val="1"/>
          <w:numId w:val="4"/>
        </w:numPr>
        <w:jc w:val="both"/>
        <w:rPr>
          <w:rFonts w:ascii="Arial" w:hAnsi="Arial" w:cs="Arial"/>
          <w:sz w:val="20"/>
          <w:szCs w:val="20"/>
        </w:rPr>
      </w:pPr>
      <w:r w:rsidRPr="00380FC3">
        <w:rPr>
          <w:rFonts w:ascii="Arial" w:hAnsi="Arial" w:cs="Arial"/>
          <w:sz w:val="20"/>
          <w:szCs w:val="20"/>
        </w:rPr>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rsidR="00380FC3" w:rsidRPr="00380FC3" w:rsidRDefault="00380FC3" w:rsidP="00380FC3">
      <w:pPr>
        <w:jc w:val="both"/>
        <w:rPr>
          <w:rFonts w:ascii="Arial" w:hAnsi="Arial" w:cs="Arial"/>
          <w:sz w:val="20"/>
          <w:szCs w:val="20"/>
        </w:rPr>
      </w:pPr>
    </w:p>
    <w:p w:rsidR="00380FC3" w:rsidRPr="00380FC3" w:rsidRDefault="00380FC3" w:rsidP="00380FC3">
      <w:pPr>
        <w:numPr>
          <w:ilvl w:val="1"/>
          <w:numId w:val="4"/>
        </w:numPr>
        <w:jc w:val="both"/>
        <w:rPr>
          <w:rFonts w:ascii="Arial" w:hAnsi="Arial" w:cs="Arial"/>
          <w:sz w:val="20"/>
          <w:szCs w:val="20"/>
        </w:rPr>
      </w:pPr>
      <w:r w:rsidRPr="00380FC3">
        <w:rPr>
          <w:rFonts w:ascii="Arial" w:hAnsi="Arial" w:cs="Arial"/>
          <w:sz w:val="20"/>
          <w:szCs w:val="20"/>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 xml:space="preserve">Se consideran partes vinculadas a la Sociedad, adicionalmente a las empresas del grupo, asociadas y </w:t>
      </w:r>
      <w:proofErr w:type="spellStart"/>
      <w:r w:rsidRPr="00380FC3">
        <w:rPr>
          <w:rFonts w:ascii="Arial" w:hAnsi="Arial" w:cs="Arial"/>
          <w:sz w:val="20"/>
          <w:szCs w:val="20"/>
        </w:rPr>
        <w:t>multigrupo</w:t>
      </w:r>
      <w:proofErr w:type="spellEnd"/>
      <w:r w:rsidRPr="00380FC3">
        <w:rPr>
          <w:rFonts w:ascii="Arial" w:hAnsi="Arial" w:cs="Arial"/>
          <w:sz w:val="20"/>
          <w:szCs w:val="20"/>
        </w:rPr>
        <w:t>,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380FC3" w:rsidRPr="00380FC3" w:rsidRDefault="00380FC3" w:rsidP="00380FC3">
      <w:pPr>
        <w:jc w:val="both"/>
        <w:rPr>
          <w:rFonts w:ascii="Arial" w:hAnsi="Arial" w:cs="Arial"/>
          <w:sz w:val="20"/>
          <w:szCs w:val="20"/>
        </w:rPr>
      </w:pPr>
    </w:p>
    <w:p w:rsidR="00380FC3" w:rsidRDefault="00380FC3" w:rsidP="00380FC3">
      <w:pPr>
        <w:jc w:val="both"/>
        <w:rPr>
          <w:rFonts w:ascii="Arial" w:hAnsi="Arial" w:cs="Arial"/>
          <w:bCs/>
          <w:iCs/>
          <w:sz w:val="20"/>
          <w:szCs w:val="20"/>
          <w:u w:val="single"/>
          <w:lang w:val="es-ES_tradnl"/>
        </w:rPr>
      </w:pPr>
      <w:bookmarkStart w:id="7" w:name="_Toc474495509"/>
      <w:r>
        <w:rPr>
          <w:rFonts w:ascii="Arial" w:hAnsi="Arial" w:cs="Arial"/>
          <w:bCs/>
          <w:iCs/>
          <w:sz w:val="20"/>
          <w:szCs w:val="20"/>
          <w:u w:val="single"/>
          <w:lang w:val="es-ES_tradnl"/>
        </w:rPr>
        <w:t>3.</w:t>
      </w:r>
      <w:r w:rsidR="0030235B">
        <w:rPr>
          <w:rFonts w:ascii="Arial" w:hAnsi="Arial" w:cs="Arial"/>
          <w:bCs/>
          <w:iCs/>
          <w:sz w:val="20"/>
          <w:szCs w:val="20"/>
          <w:u w:val="single"/>
          <w:lang w:val="es-ES_tradnl"/>
        </w:rPr>
        <w:t>8</w:t>
      </w:r>
      <w:r w:rsidRPr="00380FC3">
        <w:rPr>
          <w:rFonts w:ascii="Arial" w:hAnsi="Arial" w:cs="Arial"/>
          <w:bCs/>
          <w:iCs/>
          <w:sz w:val="20"/>
          <w:szCs w:val="20"/>
          <w:u w:val="single"/>
          <w:lang w:val="es-ES_tradnl"/>
        </w:rPr>
        <w:t xml:space="preserve"> Derechos de emisión de gases de efecto invernadero</w:t>
      </w:r>
      <w:bookmarkEnd w:id="7"/>
    </w:p>
    <w:p w:rsidR="00380FC3" w:rsidRPr="00380FC3" w:rsidRDefault="00380FC3" w:rsidP="00380FC3">
      <w:pPr>
        <w:jc w:val="both"/>
        <w:rPr>
          <w:rFonts w:ascii="Arial" w:hAnsi="Arial" w:cs="Arial"/>
          <w:bCs/>
          <w:iCs/>
          <w:sz w:val="20"/>
          <w:szCs w:val="20"/>
          <w:u w:val="single"/>
          <w:lang w:val="es-ES_tradnl"/>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Los derechos de emisión no se amortizan. Y están sujetos a las correcciones valorativas por deterioro que sean necesarias.</w:t>
      </w:r>
    </w:p>
    <w:p w:rsidR="00380FC3" w:rsidRPr="00380FC3" w:rsidRDefault="00380FC3" w:rsidP="00380FC3">
      <w:pPr>
        <w:jc w:val="both"/>
        <w:rPr>
          <w:rFonts w:ascii="Arial" w:hAnsi="Arial" w:cs="Arial"/>
          <w:sz w:val="20"/>
          <w:szCs w:val="20"/>
        </w:rPr>
      </w:pPr>
    </w:p>
    <w:p w:rsidR="00380FC3" w:rsidRPr="00380FC3" w:rsidRDefault="00380FC3" w:rsidP="00380FC3">
      <w:pPr>
        <w:jc w:val="both"/>
        <w:rPr>
          <w:rFonts w:ascii="Arial" w:hAnsi="Arial" w:cs="Arial"/>
          <w:sz w:val="20"/>
          <w:szCs w:val="20"/>
        </w:rPr>
      </w:pPr>
      <w:r w:rsidRPr="00380FC3">
        <w:rPr>
          <w:rFonts w:ascii="Arial" w:hAnsi="Arial" w:cs="Arial"/>
          <w:sz w:val="20"/>
          <w:szCs w:val="20"/>
        </w:rPr>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p>
    <w:p w:rsidR="00E06979" w:rsidRDefault="00E06979" w:rsidP="00D81B85">
      <w:pPr>
        <w:jc w:val="both"/>
        <w:rPr>
          <w:rFonts w:ascii="Arial" w:hAnsi="Arial" w:cs="Arial"/>
          <w:b/>
          <w:sz w:val="20"/>
          <w:szCs w:val="20"/>
        </w:rPr>
      </w:pPr>
    </w:p>
    <w:p w:rsidR="00E06979" w:rsidRPr="00D81B85" w:rsidRDefault="00F372A7" w:rsidP="00D81B85">
      <w:pPr>
        <w:jc w:val="both"/>
        <w:rPr>
          <w:rFonts w:ascii="Arial" w:hAnsi="Arial" w:cs="Arial"/>
          <w:b/>
          <w:sz w:val="20"/>
          <w:szCs w:val="20"/>
        </w:rPr>
      </w:pPr>
      <w:r>
        <w:rPr>
          <w:rFonts w:ascii="Arial" w:hAnsi="Arial" w:cs="Arial"/>
          <w:b/>
          <w:sz w:val="20"/>
          <w:szCs w:val="20"/>
        </w:rPr>
        <w:t>4</w:t>
      </w:r>
      <w:r w:rsidR="00E06979" w:rsidRPr="00D81B85">
        <w:rPr>
          <w:rFonts w:ascii="Arial" w:hAnsi="Arial" w:cs="Arial"/>
          <w:b/>
          <w:sz w:val="20"/>
          <w:szCs w:val="20"/>
        </w:rPr>
        <w:t xml:space="preserve">.-  </w:t>
      </w:r>
      <w:r w:rsidR="00E24DE3">
        <w:rPr>
          <w:rFonts w:ascii="Arial" w:hAnsi="Arial" w:cs="Arial"/>
          <w:b/>
          <w:sz w:val="20"/>
          <w:szCs w:val="20"/>
        </w:rPr>
        <w:t>INMOVILIZADO MATERIAL, INTANGIBLE E</w:t>
      </w:r>
      <w:r>
        <w:rPr>
          <w:rFonts w:ascii="Arial" w:hAnsi="Arial" w:cs="Arial"/>
          <w:b/>
          <w:sz w:val="20"/>
          <w:szCs w:val="20"/>
        </w:rPr>
        <w:t xml:space="preserve"> </w:t>
      </w:r>
      <w:r w:rsidR="00E24DE3">
        <w:rPr>
          <w:rFonts w:ascii="Arial" w:hAnsi="Arial" w:cs="Arial"/>
          <w:b/>
          <w:sz w:val="20"/>
          <w:szCs w:val="20"/>
        </w:rPr>
        <w:t>INVERSIONES INMOBILIARIAS</w:t>
      </w:r>
    </w:p>
    <w:p w:rsidR="00F372A7" w:rsidRDefault="00F372A7" w:rsidP="00D81B85">
      <w:pPr>
        <w:tabs>
          <w:tab w:val="right" w:pos="426"/>
        </w:tabs>
        <w:jc w:val="both"/>
        <w:rPr>
          <w:rFonts w:ascii="Arial" w:hAnsi="Arial" w:cs="Arial"/>
          <w:b/>
          <w:sz w:val="20"/>
          <w:szCs w:val="20"/>
        </w:rPr>
      </w:pPr>
    </w:p>
    <w:p w:rsidR="00E06979" w:rsidRDefault="00F372A7" w:rsidP="00D81B85">
      <w:pPr>
        <w:tabs>
          <w:tab w:val="right" w:pos="426"/>
        </w:tabs>
        <w:jc w:val="both"/>
        <w:rPr>
          <w:rFonts w:ascii="Arial" w:hAnsi="Arial" w:cs="Arial"/>
          <w:sz w:val="20"/>
          <w:szCs w:val="20"/>
        </w:rPr>
      </w:pPr>
      <w:r w:rsidRPr="00F372A7">
        <w:rPr>
          <w:rFonts w:ascii="Arial" w:hAnsi="Arial" w:cs="Arial"/>
          <w:sz w:val="20"/>
          <w:szCs w:val="20"/>
        </w:rPr>
        <w:t>El movimiento habido en este capítulo del balance de situación adjunto es el siguiente:</w:t>
      </w:r>
      <w:r w:rsidR="00E06979" w:rsidRPr="00F372A7">
        <w:rPr>
          <w:rFonts w:ascii="Arial" w:hAnsi="Arial" w:cs="Arial"/>
          <w:sz w:val="20"/>
          <w:szCs w:val="20"/>
        </w:rPr>
        <w:tab/>
      </w:r>
    </w:p>
    <w:p w:rsidR="00F372A7" w:rsidRDefault="00F372A7" w:rsidP="00D81B85">
      <w:pPr>
        <w:tabs>
          <w:tab w:val="right" w:pos="426"/>
        </w:tabs>
        <w:jc w:val="both"/>
        <w:rPr>
          <w:rFonts w:ascii="Arial" w:hAnsi="Arial" w:cs="Arial"/>
          <w:sz w:val="20"/>
          <w:szCs w:val="20"/>
        </w:rPr>
      </w:pPr>
    </w:p>
    <w:p w:rsidR="00F372A7" w:rsidRDefault="00A0248A" w:rsidP="00D81B85">
      <w:pPr>
        <w:tabs>
          <w:tab w:val="right" w:pos="426"/>
        </w:tabs>
        <w:jc w:val="both"/>
        <w:rPr>
          <w:rFonts w:ascii="Arial" w:hAnsi="Arial" w:cs="Arial"/>
          <w:sz w:val="20"/>
          <w:szCs w:val="20"/>
        </w:rPr>
      </w:pPr>
      <w:r w:rsidRPr="00A0248A">
        <w:rPr>
          <w:noProof/>
        </w:rPr>
        <w:lastRenderedPageBreak/>
        <w:pict>
          <v:shape id="_x0000_s1055" type="#_x0000_t75" style="position:absolute;left:0;text-align:left;margin-left:-1.8pt;margin-top:-10.95pt;width:461.05pt;height:569.8pt;z-index:251672576;mso-position-horizontal-relative:text;mso-position-vertical-relative:text">
            <v:imagedata r:id="rId18" o:title=""/>
            <w10:wrap type="square"/>
          </v:shape>
        </w:pict>
      </w:r>
    </w:p>
    <w:p w:rsidR="00F372A7" w:rsidRDefault="00F372A7" w:rsidP="00D81B85">
      <w:pPr>
        <w:tabs>
          <w:tab w:val="right" w:pos="426"/>
        </w:tabs>
        <w:jc w:val="both"/>
        <w:rPr>
          <w:rFonts w:ascii="Arial" w:hAnsi="Arial" w:cs="Arial"/>
          <w:sz w:val="20"/>
          <w:szCs w:val="20"/>
        </w:rPr>
      </w:pPr>
    </w:p>
    <w:p w:rsidR="00BD710F" w:rsidRDefault="00DE7A6D" w:rsidP="00BD710F">
      <w:pPr>
        <w:tabs>
          <w:tab w:val="right" w:pos="426"/>
        </w:tabs>
        <w:jc w:val="both"/>
        <w:rPr>
          <w:rFonts w:ascii="Arial" w:hAnsi="Arial" w:cs="Arial"/>
          <w:sz w:val="20"/>
          <w:szCs w:val="20"/>
        </w:rPr>
      </w:pPr>
      <w:r w:rsidRPr="00DE7A6D">
        <w:rPr>
          <w:rFonts w:ascii="Arial" w:hAnsi="Arial" w:cs="Arial"/>
          <w:sz w:val="20"/>
          <w:szCs w:val="20"/>
        </w:rPr>
        <w:t>La partida de inmovilizado material</w:t>
      </w:r>
      <w:r>
        <w:rPr>
          <w:rFonts w:ascii="Arial" w:hAnsi="Arial" w:cs="Arial"/>
          <w:sz w:val="20"/>
          <w:szCs w:val="20"/>
        </w:rPr>
        <w:t xml:space="preserve"> recoge el valor de la instalación, puesta en marcha y equipamiento de los segmentos del ramal del cable submarino del consorcio </w:t>
      </w:r>
      <w:r w:rsidR="00BD710F" w:rsidRPr="00212D03">
        <w:rPr>
          <w:rFonts w:ascii="Arial" w:hAnsi="Arial" w:cs="Arial"/>
          <w:sz w:val="20"/>
        </w:rPr>
        <w:t>en el Consorcio ACE (</w:t>
      </w:r>
      <w:proofErr w:type="spellStart"/>
      <w:r w:rsidR="00BD710F" w:rsidRPr="00212D03">
        <w:rPr>
          <w:rFonts w:ascii="Arial" w:hAnsi="Arial" w:cs="Arial"/>
          <w:sz w:val="20"/>
        </w:rPr>
        <w:t>African</w:t>
      </w:r>
      <w:proofErr w:type="spellEnd"/>
      <w:r w:rsidR="00BD710F" w:rsidRPr="00212D03">
        <w:rPr>
          <w:rFonts w:ascii="Arial" w:hAnsi="Arial" w:cs="Arial"/>
          <w:sz w:val="20"/>
        </w:rPr>
        <w:t xml:space="preserve"> </w:t>
      </w:r>
      <w:proofErr w:type="spellStart"/>
      <w:r w:rsidR="00BD710F" w:rsidRPr="00212D03">
        <w:rPr>
          <w:rFonts w:ascii="Arial" w:hAnsi="Arial" w:cs="Arial"/>
          <w:sz w:val="20"/>
        </w:rPr>
        <w:t>Coast</w:t>
      </w:r>
      <w:proofErr w:type="spellEnd"/>
      <w:r w:rsidR="00BD710F" w:rsidRPr="00212D03">
        <w:rPr>
          <w:rFonts w:ascii="Arial" w:hAnsi="Arial" w:cs="Arial"/>
          <w:sz w:val="20"/>
        </w:rPr>
        <w:t xml:space="preserve"> </w:t>
      </w:r>
      <w:proofErr w:type="spellStart"/>
      <w:r w:rsidR="00BD710F" w:rsidRPr="00212D03">
        <w:rPr>
          <w:rFonts w:ascii="Arial" w:hAnsi="Arial" w:cs="Arial"/>
          <w:sz w:val="20"/>
        </w:rPr>
        <w:t>to</w:t>
      </w:r>
      <w:proofErr w:type="spellEnd"/>
      <w:r w:rsidR="00BD710F" w:rsidRPr="00212D03">
        <w:rPr>
          <w:rFonts w:ascii="Arial" w:hAnsi="Arial" w:cs="Arial"/>
          <w:sz w:val="20"/>
        </w:rPr>
        <w:t xml:space="preserve"> </w:t>
      </w:r>
      <w:proofErr w:type="spellStart"/>
      <w:r w:rsidR="00BD710F" w:rsidRPr="00212D03">
        <w:rPr>
          <w:rFonts w:ascii="Arial" w:hAnsi="Arial" w:cs="Arial"/>
          <w:sz w:val="20"/>
        </w:rPr>
        <w:t>Europe</w:t>
      </w:r>
      <w:proofErr w:type="spellEnd"/>
      <w:r w:rsidR="00BD710F" w:rsidRPr="00212D03">
        <w:rPr>
          <w:rFonts w:ascii="Arial" w:hAnsi="Arial" w:cs="Arial"/>
          <w:sz w:val="20"/>
        </w:rPr>
        <w:t>)</w:t>
      </w:r>
      <w:r w:rsidR="00BD710F" w:rsidRPr="00BD710F">
        <w:rPr>
          <w:rFonts w:ascii="Arial" w:hAnsi="Arial" w:cs="Arial"/>
          <w:sz w:val="20"/>
          <w:szCs w:val="20"/>
        </w:rPr>
        <w:t xml:space="preserve"> </w:t>
      </w:r>
      <w:r w:rsidR="00BD710F">
        <w:rPr>
          <w:rFonts w:ascii="Arial" w:hAnsi="Arial" w:cs="Arial"/>
          <w:sz w:val="20"/>
          <w:szCs w:val="20"/>
        </w:rPr>
        <w:t>correspondiente a Canarias.</w:t>
      </w:r>
    </w:p>
    <w:p w:rsidR="003139F4" w:rsidRDefault="003139F4" w:rsidP="00BD710F">
      <w:pPr>
        <w:tabs>
          <w:tab w:val="right" w:pos="426"/>
        </w:tabs>
        <w:jc w:val="both"/>
        <w:rPr>
          <w:rFonts w:ascii="Arial" w:hAnsi="Arial" w:cs="Arial"/>
          <w:sz w:val="20"/>
          <w:szCs w:val="20"/>
        </w:rPr>
      </w:pPr>
    </w:p>
    <w:p w:rsidR="00DE7A6D" w:rsidRDefault="00BD710F" w:rsidP="004E6502">
      <w:pPr>
        <w:tabs>
          <w:tab w:val="left" w:pos="-720"/>
        </w:tabs>
        <w:jc w:val="both"/>
        <w:rPr>
          <w:rFonts w:ascii="Arial" w:hAnsi="Arial" w:cs="Arial"/>
          <w:sz w:val="20"/>
          <w:szCs w:val="20"/>
        </w:rPr>
      </w:pPr>
      <w:r w:rsidRPr="00212D03">
        <w:rPr>
          <w:rFonts w:ascii="Arial" w:hAnsi="Arial" w:cs="Arial"/>
          <w:sz w:val="20"/>
        </w:rPr>
        <w:t xml:space="preserve">Este </w:t>
      </w:r>
      <w:r>
        <w:rPr>
          <w:rFonts w:ascii="Arial" w:hAnsi="Arial" w:cs="Arial"/>
          <w:sz w:val="20"/>
        </w:rPr>
        <w:t xml:space="preserve">proyecto se corresponde con un sistema de cable submarino, promovido por este consorcio, formado por unos 20 socios operadores de telecomunicaciones africanos, además de France Telecom, que una vez terminado recorrerá 17.000 Km, y permitirá la conexión de telecomunicaciones e Internet de los países de la costa occidental </w:t>
      </w:r>
      <w:proofErr w:type="spellStart"/>
      <w:r>
        <w:rPr>
          <w:rFonts w:ascii="Arial" w:hAnsi="Arial" w:cs="Arial"/>
          <w:sz w:val="20"/>
        </w:rPr>
        <w:t>africana.</w:t>
      </w:r>
      <w:r w:rsidR="00DE7A6D">
        <w:rPr>
          <w:rFonts w:ascii="Arial" w:hAnsi="Arial" w:cs="Arial"/>
          <w:sz w:val="20"/>
          <w:szCs w:val="20"/>
        </w:rPr>
        <w:t>A</w:t>
      </w:r>
      <w:proofErr w:type="spellEnd"/>
      <w:r w:rsidR="00DE7A6D">
        <w:rPr>
          <w:rFonts w:ascii="Arial" w:hAnsi="Arial" w:cs="Arial"/>
          <w:sz w:val="20"/>
          <w:szCs w:val="20"/>
        </w:rPr>
        <w:t xml:space="preserve"> </w:t>
      </w:r>
    </w:p>
    <w:p w:rsidR="00DE7A6D" w:rsidRDefault="00DE7A6D" w:rsidP="00D81B85">
      <w:pPr>
        <w:tabs>
          <w:tab w:val="right" w:pos="426"/>
        </w:tabs>
        <w:jc w:val="both"/>
        <w:rPr>
          <w:rFonts w:ascii="Arial" w:hAnsi="Arial" w:cs="Arial"/>
          <w:sz w:val="20"/>
          <w:szCs w:val="20"/>
        </w:rPr>
      </w:pPr>
      <w:r w:rsidRPr="00DE7A6D">
        <w:rPr>
          <w:rFonts w:ascii="Arial" w:hAnsi="Arial" w:cs="Arial"/>
          <w:sz w:val="20"/>
          <w:szCs w:val="20"/>
        </w:rPr>
        <w:t>Durante el ejercicio, no se han producido correcciones valorativas por deterioro de valor.</w:t>
      </w:r>
    </w:p>
    <w:p w:rsidR="00F372A7" w:rsidRDefault="00F372A7" w:rsidP="00D81B85">
      <w:pPr>
        <w:tabs>
          <w:tab w:val="right" w:pos="426"/>
        </w:tabs>
        <w:jc w:val="both"/>
        <w:rPr>
          <w:rFonts w:ascii="Arial" w:hAnsi="Arial" w:cs="Arial"/>
          <w:sz w:val="20"/>
          <w:szCs w:val="20"/>
        </w:rPr>
      </w:pPr>
    </w:p>
    <w:p w:rsidR="00F372A7" w:rsidRDefault="00DE7A6D" w:rsidP="00D81B85">
      <w:pPr>
        <w:tabs>
          <w:tab w:val="right" w:pos="426"/>
        </w:tabs>
        <w:jc w:val="both"/>
        <w:rPr>
          <w:rFonts w:ascii="Arial" w:hAnsi="Arial" w:cs="Arial"/>
          <w:sz w:val="20"/>
          <w:szCs w:val="20"/>
        </w:rPr>
      </w:pPr>
      <w:r w:rsidRPr="00DE7A6D">
        <w:rPr>
          <w:rFonts w:ascii="Arial" w:hAnsi="Arial" w:cs="Arial"/>
          <w:sz w:val="20"/>
          <w:szCs w:val="20"/>
        </w:rPr>
        <w:lastRenderedPageBreak/>
        <w:t>Así mismo, no ha habido movimientos en la partidas de inmovilizado intangible e inversiones inmobiliarias. No existen arrendamientos financieros u operaciones análogas sobre activos no corrientes.</w:t>
      </w:r>
    </w:p>
    <w:p w:rsidR="00F372A7" w:rsidRDefault="00F372A7" w:rsidP="00D81B85">
      <w:pPr>
        <w:tabs>
          <w:tab w:val="right" w:pos="426"/>
        </w:tabs>
        <w:jc w:val="both"/>
        <w:rPr>
          <w:rFonts w:ascii="Arial" w:hAnsi="Arial" w:cs="Arial"/>
          <w:sz w:val="20"/>
          <w:szCs w:val="20"/>
        </w:rPr>
      </w:pPr>
    </w:p>
    <w:p w:rsidR="00E06979" w:rsidRPr="00D81B85" w:rsidRDefault="00E06979" w:rsidP="00D81B85">
      <w:pPr>
        <w:jc w:val="both"/>
        <w:rPr>
          <w:rFonts w:ascii="Arial" w:hAnsi="Arial" w:cs="Arial"/>
          <w:sz w:val="20"/>
          <w:szCs w:val="20"/>
        </w:rPr>
      </w:pPr>
    </w:p>
    <w:p w:rsidR="00E06979" w:rsidRPr="00D81B85" w:rsidRDefault="00CD0DA1" w:rsidP="00D81B85">
      <w:pPr>
        <w:jc w:val="both"/>
        <w:rPr>
          <w:rFonts w:ascii="Arial" w:hAnsi="Arial" w:cs="Arial"/>
          <w:b/>
          <w:sz w:val="20"/>
          <w:szCs w:val="20"/>
        </w:rPr>
      </w:pPr>
      <w:r>
        <w:rPr>
          <w:rFonts w:ascii="Arial" w:hAnsi="Arial" w:cs="Arial"/>
          <w:b/>
          <w:sz w:val="20"/>
          <w:szCs w:val="20"/>
        </w:rPr>
        <w:t>5</w:t>
      </w:r>
      <w:r w:rsidR="00E06979" w:rsidRPr="00D81B85">
        <w:rPr>
          <w:rFonts w:ascii="Arial" w:hAnsi="Arial" w:cs="Arial"/>
          <w:b/>
          <w:sz w:val="20"/>
          <w:szCs w:val="20"/>
        </w:rPr>
        <w:t xml:space="preserve">.-  </w:t>
      </w:r>
      <w:r w:rsidR="00E24DE3">
        <w:rPr>
          <w:rFonts w:ascii="Arial" w:hAnsi="Arial" w:cs="Arial"/>
          <w:b/>
          <w:sz w:val="20"/>
          <w:szCs w:val="20"/>
        </w:rPr>
        <w:t>ACTIVOS FINANCIEROS</w:t>
      </w:r>
    </w:p>
    <w:p w:rsidR="00E06979" w:rsidRPr="00D81B85" w:rsidRDefault="00E06979" w:rsidP="00D81B85">
      <w:pPr>
        <w:jc w:val="both"/>
        <w:rPr>
          <w:rFonts w:ascii="Arial" w:hAnsi="Arial" w:cs="Arial"/>
          <w:b/>
          <w:sz w:val="20"/>
          <w:szCs w:val="20"/>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Activos financieros no corrientes</w:t>
      </w:r>
    </w:p>
    <w:p w:rsidR="00CD0DA1" w:rsidRPr="00CD0DA1" w:rsidRDefault="00CD0DA1" w:rsidP="00CD0DA1">
      <w:pPr>
        <w:jc w:val="both"/>
        <w:rPr>
          <w:rFonts w:ascii="Arial" w:hAnsi="Arial" w:cs="Arial"/>
          <w:sz w:val="20"/>
          <w:szCs w:val="20"/>
        </w:rPr>
      </w:pPr>
    </w:p>
    <w:p w:rsidR="00CD0DA1" w:rsidRPr="00CD0DA1" w:rsidRDefault="00CD0DA1" w:rsidP="00CD0DA1">
      <w:pPr>
        <w:jc w:val="both"/>
        <w:rPr>
          <w:rFonts w:ascii="Arial" w:hAnsi="Arial" w:cs="Arial"/>
          <w:sz w:val="20"/>
          <w:szCs w:val="20"/>
        </w:rPr>
      </w:pPr>
      <w:r w:rsidRPr="00CD0DA1">
        <w:rPr>
          <w:rFonts w:ascii="Arial" w:hAnsi="Arial" w:cs="Arial"/>
          <w:sz w:val="20"/>
          <w:szCs w:val="20"/>
        </w:rPr>
        <w:t xml:space="preserve">        El Balance de Situación de esta Agrupación no muestra Activos Financieros a largo plazo.</w:t>
      </w:r>
    </w:p>
    <w:p w:rsidR="00CD0DA1" w:rsidRPr="00CD0DA1" w:rsidRDefault="00CD0DA1" w:rsidP="00CD0DA1">
      <w:pPr>
        <w:jc w:val="both"/>
        <w:rPr>
          <w:rFonts w:ascii="Arial" w:hAnsi="Arial" w:cs="Arial"/>
          <w:sz w:val="20"/>
          <w:szCs w:val="20"/>
          <w:u w:val="single"/>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Correcciones por deterioro del valor originadas por el riesgo de crédito</w:t>
      </w:r>
    </w:p>
    <w:p w:rsidR="00CD0DA1" w:rsidRPr="00CD0DA1" w:rsidRDefault="00CD0DA1" w:rsidP="00CD0DA1">
      <w:pPr>
        <w:jc w:val="both"/>
        <w:rPr>
          <w:rFonts w:ascii="Arial" w:hAnsi="Arial" w:cs="Arial"/>
          <w:sz w:val="20"/>
          <w:szCs w:val="20"/>
        </w:rPr>
      </w:pPr>
    </w:p>
    <w:p w:rsidR="00CD0DA1" w:rsidRDefault="00CD0DA1" w:rsidP="00CD0DA1">
      <w:pPr>
        <w:ind w:firstLine="360"/>
        <w:jc w:val="both"/>
        <w:rPr>
          <w:rFonts w:ascii="Arial" w:hAnsi="Arial" w:cs="Arial"/>
          <w:sz w:val="20"/>
          <w:szCs w:val="20"/>
        </w:rPr>
      </w:pPr>
      <w:r w:rsidRPr="00CD0DA1">
        <w:rPr>
          <w:rFonts w:ascii="Arial" w:hAnsi="Arial" w:cs="Arial"/>
          <w:sz w:val="20"/>
          <w:szCs w:val="20"/>
        </w:rPr>
        <w:t>No se han registrado correcciones de valor.</w:t>
      </w:r>
    </w:p>
    <w:p w:rsidR="00CD0DA1" w:rsidRDefault="00CD0DA1" w:rsidP="00CD0DA1">
      <w:pPr>
        <w:ind w:firstLine="360"/>
        <w:jc w:val="both"/>
        <w:rPr>
          <w:rFonts w:ascii="Arial" w:hAnsi="Arial" w:cs="Arial"/>
          <w:sz w:val="20"/>
          <w:szCs w:val="20"/>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Activos financieros designados a valor razonable con cambios en la cuenta de pérdidas y ganancias.</w:t>
      </w:r>
    </w:p>
    <w:p w:rsidR="00CD0DA1" w:rsidRDefault="00CD0DA1" w:rsidP="00CD0DA1">
      <w:pPr>
        <w:jc w:val="both"/>
        <w:rPr>
          <w:rFonts w:ascii="Arial" w:hAnsi="Arial" w:cs="Arial"/>
          <w:sz w:val="20"/>
          <w:szCs w:val="20"/>
        </w:rPr>
      </w:pPr>
    </w:p>
    <w:p w:rsidR="00CD0DA1" w:rsidRDefault="00CD0DA1" w:rsidP="00CD0DA1">
      <w:pPr>
        <w:ind w:firstLine="360"/>
        <w:jc w:val="both"/>
        <w:rPr>
          <w:rFonts w:ascii="Arial" w:hAnsi="Arial" w:cs="Arial"/>
          <w:sz w:val="20"/>
          <w:szCs w:val="20"/>
        </w:rPr>
      </w:pPr>
      <w:r w:rsidRPr="00CD0DA1">
        <w:rPr>
          <w:rFonts w:ascii="Arial" w:hAnsi="Arial" w:cs="Arial"/>
          <w:sz w:val="20"/>
          <w:szCs w:val="20"/>
        </w:rPr>
        <w:t>La entidad no dispone de de este tipo de activos.</w:t>
      </w:r>
    </w:p>
    <w:p w:rsidR="00CD0DA1" w:rsidRDefault="00CD0DA1" w:rsidP="00CD0DA1">
      <w:pPr>
        <w:ind w:firstLine="360"/>
        <w:jc w:val="both"/>
        <w:rPr>
          <w:rFonts w:ascii="Arial" w:hAnsi="Arial" w:cs="Arial"/>
          <w:sz w:val="20"/>
          <w:szCs w:val="20"/>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 xml:space="preserve">Empresas del grupo, </w:t>
      </w:r>
      <w:proofErr w:type="spellStart"/>
      <w:r w:rsidRPr="00CD0DA1">
        <w:rPr>
          <w:rFonts w:ascii="Arial" w:hAnsi="Arial" w:cs="Arial"/>
          <w:sz w:val="20"/>
          <w:szCs w:val="20"/>
        </w:rPr>
        <w:t>multigrupo</w:t>
      </w:r>
      <w:proofErr w:type="spellEnd"/>
      <w:r w:rsidRPr="00CD0DA1">
        <w:rPr>
          <w:rFonts w:ascii="Arial" w:hAnsi="Arial" w:cs="Arial"/>
          <w:sz w:val="20"/>
          <w:szCs w:val="20"/>
        </w:rPr>
        <w:t xml:space="preserve"> y asociadas</w:t>
      </w:r>
    </w:p>
    <w:p w:rsidR="00CD0DA1" w:rsidRPr="00CD0DA1" w:rsidRDefault="00CD0DA1" w:rsidP="00CD0DA1">
      <w:pPr>
        <w:jc w:val="both"/>
        <w:rPr>
          <w:rFonts w:ascii="Arial" w:hAnsi="Arial" w:cs="Arial"/>
          <w:sz w:val="20"/>
          <w:szCs w:val="20"/>
        </w:rPr>
      </w:pPr>
    </w:p>
    <w:p w:rsidR="00CD0DA1" w:rsidRPr="00CD0DA1" w:rsidRDefault="00CD0DA1" w:rsidP="00CD0DA1">
      <w:pPr>
        <w:jc w:val="both"/>
        <w:rPr>
          <w:rFonts w:ascii="Arial" w:hAnsi="Arial" w:cs="Arial"/>
          <w:sz w:val="20"/>
          <w:szCs w:val="20"/>
        </w:rPr>
      </w:pPr>
      <w:r w:rsidRPr="00CD0DA1">
        <w:rPr>
          <w:rFonts w:ascii="Arial" w:hAnsi="Arial" w:cs="Arial"/>
          <w:sz w:val="20"/>
          <w:szCs w:val="20"/>
        </w:rPr>
        <w:t xml:space="preserve">La empresa </w:t>
      </w:r>
      <w:proofErr w:type="spellStart"/>
      <w:r>
        <w:rPr>
          <w:rFonts w:ascii="Arial" w:hAnsi="Arial" w:cs="Arial"/>
          <w:sz w:val="20"/>
          <w:szCs w:val="20"/>
        </w:rPr>
        <w:t>Canalink</w:t>
      </w:r>
      <w:proofErr w:type="spellEnd"/>
      <w:r>
        <w:rPr>
          <w:rFonts w:ascii="Arial" w:hAnsi="Arial" w:cs="Arial"/>
          <w:sz w:val="20"/>
          <w:szCs w:val="20"/>
        </w:rPr>
        <w:t xml:space="preserve"> </w:t>
      </w:r>
      <w:proofErr w:type="spellStart"/>
      <w:r>
        <w:rPr>
          <w:rFonts w:ascii="Arial" w:hAnsi="Arial" w:cs="Arial"/>
          <w:sz w:val="20"/>
          <w:szCs w:val="20"/>
        </w:rPr>
        <w:t>Africa</w:t>
      </w:r>
      <w:proofErr w:type="spellEnd"/>
      <w:r w:rsidRPr="00CD0DA1">
        <w:rPr>
          <w:rFonts w:ascii="Arial" w:hAnsi="Arial" w:cs="Arial"/>
          <w:sz w:val="20"/>
          <w:szCs w:val="20"/>
        </w:rPr>
        <w:t xml:space="preserve"> no tiene acciones o participaciones de entidades que puedan ser consideradas como empresas del grupo, </w:t>
      </w:r>
      <w:proofErr w:type="spellStart"/>
      <w:r w:rsidRPr="00CD0DA1">
        <w:rPr>
          <w:rFonts w:ascii="Arial" w:hAnsi="Arial" w:cs="Arial"/>
          <w:sz w:val="20"/>
          <w:szCs w:val="20"/>
        </w:rPr>
        <w:t>multigrupo</w:t>
      </w:r>
      <w:proofErr w:type="spellEnd"/>
      <w:r w:rsidRPr="00CD0DA1">
        <w:rPr>
          <w:rFonts w:ascii="Arial" w:hAnsi="Arial" w:cs="Arial"/>
          <w:sz w:val="20"/>
          <w:szCs w:val="20"/>
        </w:rPr>
        <w:t>, asociadas u otras.</w:t>
      </w:r>
    </w:p>
    <w:p w:rsidR="00CD0DA1" w:rsidRDefault="00CD0DA1" w:rsidP="00CD0DA1">
      <w:pPr>
        <w:ind w:firstLine="360"/>
        <w:jc w:val="both"/>
        <w:rPr>
          <w:rFonts w:ascii="Arial" w:hAnsi="Arial" w:cs="Arial"/>
          <w:sz w:val="20"/>
          <w:szCs w:val="20"/>
        </w:rPr>
      </w:pPr>
    </w:p>
    <w:p w:rsidR="00CD0DA1" w:rsidRPr="00CD0DA1" w:rsidRDefault="00CD0DA1" w:rsidP="00CD0DA1">
      <w:pPr>
        <w:numPr>
          <w:ilvl w:val="0"/>
          <w:numId w:val="14"/>
        </w:numPr>
        <w:jc w:val="both"/>
        <w:rPr>
          <w:rFonts w:ascii="Arial" w:hAnsi="Arial" w:cs="Arial"/>
          <w:sz w:val="20"/>
          <w:szCs w:val="20"/>
        </w:rPr>
      </w:pPr>
      <w:r w:rsidRPr="00CD0DA1">
        <w:rPr>
          <w:rFonts w:ascii="Arial" w:hAnsi="Arial" w:cs="Arial"/>
          <w:sz w:val="20"/>
          <w:szCs w:val="20"/>
        </w:rPr>
        <w:t>Activos financieros corrientes</w:t>
      </w:r>
    </w:p>
    <w:p w:rsidR="00CD0DA1" w:rsidRDefault="00CD0DA1" w:rsidP="00CD0DA1">
      <w:pPr>
        <w:ind w:firstLine="360"/>
        <w:jc w:val="both"/>
        <w:rPr>
          <w:rFonts w:ascii="Arial" w:hAnsi="Arial" w:cs="Arial"/>
          <w:sz w:val="20"/>
          <w:szCs w:val="20"/>
        </w:rPr>
      </w:pPr>
    </w:p>
    <w:p w:rsidR="00CD0DA1" w:rsidRDefault="00286E73" w:rsidP="00CD0DA1">
      <w:pPr>
        <w:ind w:firstLine="360"/>
        <w:jc w:val="both"/>
        <w:rPr>
          <w:rFonts w:ascii="Arial" w:hAnsi="Arial" w:cs="Arial"/>
          <w:sz w:val="20"/>
          <w:szCs w:val="20"/>
        </w:rPr>
      </w:pPr>
      <w:r w:rsidRPr="00286E73">
        <w:rPr>
          <w:szCs w:val="20"/>
        </w:rPr>
        <w:pict>
          <v:shape id="_x0000_i1043" type="#_x0000_t75" style="width:310.5pt;height:111pt">
            <v:imagedata r:id="rId19" o:title=""/>
          </v:shape>
        </w:pict>
      </w:r>
    </w:p>
    <w:p w:rsidR="00CD0DA1" w:rsidRDefault="00CD0DA1" w:rsidP="00CD0DA1">
      <w:pPr>
        <w:ind w:firstLine="360"/>
        <w:jc w:val="both"/>
        <w:rPr>
          <w:rFonts w:ascii="Arial" w:hAnsi="Arial" w:cs="Arial"/>
          <w:sz w:val="20"/>
          <w:szCs w:val="20"/>
        </w:rPr>
      </w:pPr>
    </w:p>
    <w:p w:rsidR="005915A0" w:rsidRDefault="005915A0" w:rsidP="005915A0">
      <w:pPr>
        <w:autoSpaceDE w:val="0"/>
        <w:autoSpaceDN w:val="0"/>
        <w:adjustRightInd w:val="0"/>
        <w:spacing w:after="120"/>
        <w:ind w:firstLine="360"/>
        <w:jc w:val="both"/>
        <w:rPr>
          <w:szCs w:val="20"/>
        </w:rPr>
      </w:pPr>
      <w:r w:rsidRPr="005915A0">
        <w:rPr>
          <w:szCs w:val="20"/>
        </w:rPr>
        <w:pict>
          <v:shape id="_x0000_i1044" type="#_x0000_t75" style="width:310.5pt;height:88.5pt">
            <v:imagedata r:id="rId20" o:title=""/>
          </v:shape>
        </w:pict>
      </w:r>
    </w:p>
    <w:p w:rsidR="002346DA" w:rsidRDefault="002346DA" w:rsidP="005915A0">
      <w:pPr>
        <w:autoSpaceDE w:val="0"/>
        <w:autoSpaceDN w:val="0"/>
        <w:adjustRightInd w:val="0"/>
        <w:spacing w:after="120"/>
        <w:ind w:firstLine="360"/>
        <w:jc w:val="both"/>
        <w:rPr>
          <w:szCs w:val="20"/>
        </w:rPr>
      </w:pPr>
    </w:p>
    <w:p w:rsidR="005915A0" w:rsidRPr="002346DA" w:rsidRDefault="005915A0" w:rsidP="002346DA">
      <w:pPr>
        <w:autoSpaceDE w:val="0"/>
        <w:autoSpaceDN w:val="0"/>
        <w:adjustRightInd w:val="0"/>
        <w:spacing w:after="120"/>
        <w:jc w:val="both"/>
        <w:rPr>
          <w:rFonts w:ascii="Arial" w:hAnsi="Arial" w:cs="Arial"/>
          <w:sz w:val="20"/>
          <w:szCs w:val="20"/>
        </w:rPr>
      </w:pPr>
      <w:r w:rsidRPr="002346DA">
        <w:rPr>
          <w:rFonts w:ascii="Arial" w:hAnsi="Arial" w:cs="Arial"/>
          <w:sz w:val="20"/>
          <w:szCs w:val="20"/>
        </w:rPr>
        <w:t xml:space="preserve">El epígrafe de “Deudores comerciales y otras cuentas a cobrar” del balance figura por </w:t>
      </w:r>
      <w:r w:rsidR="002346DA">
        <w:rPr>
          <w:rFonts w:ascii="Arial" w:hAnsi="Arial" w:cs="Arial"/>
          <w:sz w:val="20"/>
          <w:szCs w:val="20"/>
        </w:rPr>
        <w:t xml:space="preserve">340.692,49 €; </w:t>
      </w:r>
      <w:r w:rsidRPr="002346DA">
        <w:rPr>
          <w:rFonts w:ascii="Arial" w:hAnsi="Arial" w:cs="Arial"/>
          <w:sz w:val="20"/>
          <w:szCs w:val="20"/>
        </w:rPr>
        <w:t>332.288,01 euros</w:t>
      </w:r>
      <w:r w:rsidR="002346DA">
        <w:rPr>
          <w:rFonts w:ascii="Arial" w:hAnsi="Arial" w:cs="Arial"/>
          <w:sz w:val="20"/>
          <w:szCs w:val="20"/>
        </w:rPr>
        <w:t xml:space="preserve"> en 2015</w:t>
      </w:r>
      <w:r w:rsidRPr="002346DA">
        <w:rPr>
          <w:rFonts w:ascii="Arial" w:hAnsi="Arial" w:cs="Arial"/>
          <w:sz w:val="20"/>
          <w:szCs w:val="20"/>
        </w:rPr>
        <w:t xml:space="preserve">, </w:t>
      </w:r>
      <w:r w:rsidR="002346DA">
        <w:rPr>
          <w:rFonts w:ascii="Arial" w:hAnsi="Arial" w:cs="Arial"/>
          <w:sz w:val="20"/>
          <w:szCs w:val="20"/>
        </w:rPr>
        <w:t>según el desglose de la tabla superior.</w:t>
      </w:r>
    </w:p>
    <w:p w:rsidR="00286E73" w:rsidRDefault="00286E73" w:rsidP="00286E73">
      <w:pPr>
        <w:autoSpaceDE w:val="0"/>
        <w:autoSpaceDN w:val="0"/>
        <w:adjustRightInd w:val="0"/>
        <w:spacing w:after="120"/>
        <w:jc w:val="both"/>
        <w:rPr>
          <w:rFonts w:ascii="Arial" w:hAnsi="Arial" w:cs="Arial"/>
          <w:sz w:val="20"/>
          <w:szCs w:val="20"/>
        </w:rPr>
      </w:pPr>
      <w:r w:rsidRPr="00D81B85">
        <w:rPr>
          <w:rFonts w:ascii="Arial" w:hAnsi="Arial" w:cs="Arial"/>
          <w:sz w:val="20"/>
          <w:szCs w:val="20"/>
        </w:rPr>
        <w:t>La</w:t>
      </w:r>
      <w:r>
        <w:rPr>
          <w:rFonts w:ascii="Arial" w:hAnsi="Arial" w:cs="Arial"/>
          <w:sz w:val="20"/>
          <w:szCs w:val="20"/>
        </w:rPr>
        <w:t>s</w:t>
      </w:r>
      <w:r w:rsidRPr="00D81B85">
        <w:rPr>
          <w:rFonts w:ascii="Arial" w:hAnsi="Arial" w:cs="Arial"/>
          <w:sz w:val="20"/>
          <w:szCs w:val="20"/>
        </w:rPr>
        <w:t xml:space="preserve"> </w:t>
      </w:r>
      <w:r>
        <w:rPr>
          <w:rFonts w:ascii="Arial" w:hAnsi="Arial" w:cs="Arial"/>
          <w:sz w:val="20"/>
          <w:szCs w:val="20"/>
        </w:rPr>
        <w:t xml:space="preserve">inversiones financieras en empresas del grupo a corto plazo, se corresponden con los créditos fiscales de que dispone la sociedad por las retenciones y deducciones pendientes de aplicar y asumidas por el grupo consolidado fiscal al que pertenece, por importe de </w:t>
      </w:r>
      <w:r w:rsidR="005915A0">
        <w:rPr>
          <w:rFonts w:ascii="Arial" w:hAnsi="Arial" w:cs="Arial"/>
          <w:sz w:val="20"/>
          <w:szCs w:val="20"/>
        </w:rPr>
        <w:t>577.686,0</w:t>
      </w:r>
      <w:r w:rsidR="0030235B">
        <w:rPr>
          <w:rFonts w:ascii="Arial" w:hAnsi="Arial" w:cs="Arial"/>
          <w:sz w:val="20"/>
          <w:szCs w:val="20"/>
        </w:rPr>
        <w:t>8</w:t>
      </w:r>
      <w:r w:rsidR="005915A0">
        <w:rPr>
          <w:rFonts w:ascii="Arial" w:hAnsi="Arial" w:cs="Arial"/>
          <w:sz w:val="20"/>
          <w:szCs w:val="20"/>
        </w:rPr>
        <w:t xml:space="preserve"> € en 2016 y </w:t>
      </w:r>
      <w:r>
        <w:rPr>
          <w:rFonts w:ascii="Arial" w:hAnsi="Arial" w:cs="Arial"/>
          <w:sz w:val="20"/>
          <w:szCs w:val="20"/>
        </w:rPr>
        <w:t>581.405,90 euros en 2015.</w:t>
      </w:r>
    </w:p>
    <w:p w:rsidR="00286E73" w:rsidRPr="002346DA" w:rsidRDefault="00286E73" w:rsidP="00286E73">
      <w:pPr>
        <w:pStyle w:val="Secretara"/>
        <w:spacing w:after="0"/>
        <w:ind w:firstLine="0"/>
        <w:rPr>
          <w:rFonts w:ascii="Arial" w:hAnsi="Arial" w:cs="Arial"/>
          <w:kern w:val="0"/>
          <w:sz w:val="20"/>
          <w:lang w:eastAsia="es-ES"/>
        </w:rPr>
      </w:pPr>
    </w:p>
    <w:p w:rsidR="00286E73" w:rsidRDefault="00286E73" w:rsidP="00286E73">
      <w:pPr>
        <w:autoSpaceDE w:val="0"/>
        <w:autoSpaceDN w:val="0"/>
        <w:adjustRightInd w:val="0"/>
        <w:spacing w:after="120"/>
        <w:jc w:val="both"/>
        <w:rPr>
          <w:rFonts w:ascii="Arial" w:hAnsi="Arial" w:cs="Arial"/>
          <w:sz w:val="20"/>
          <w:szCs w:val="20"/>
        </w:rPr>
      </w:pPr>
      <w:r w:rsidRPr="00D81B85">
        <w:rPr>
          <w:rFonts w:ascii="Arial" w:hAnsi="Arial" w:cs="Arial"/>
          <w:sz w:val="20"/>
          <w:szCs w:val="20"/>
        </w:rPr>
        <w:t>La</w:t>
      </w:r>
      <w:r>
        <w:rPr>
          <w:rFonts w:ascii="Arial" w:hAnsi="Arial" w:cs="Arial"/>
          <w:sz w:val="20"/>
          <w:szCs w:val="20"/>
        </w:rPr>
        <w:t>s inversiones financieras a corto plazo se corresponden con un depósito realizado en el Registro Mercantil por 154,08 euros, en 201</w:t>
      </w:r>
      <w:r w:rsidR="005915A0">
        <w:rPr>
          <w:rFonts w:ascii="Arial" w:hAnsi="Arial" w:cs="Arial"/>
          <w:sz w:val="20"/>
          <w:szCs w:val="20"/>
        </w:rPr>
        <w:t>6 y 154,08 euros en 2015</w:t>
      </w:r>
      <w:r>
        <w:rPr>
          <w:rFonts w:ascii="Arial" w:hAnsi="Arial" w:cs="Arial"/>
          <w:sz w:val="20"/>
          <w:szCs w:val="20"/>
        </w:rPr>
        <w:t>.</w:t>
      </w:r>
    </w:p>
    <w:p w:rsidR="00286E73" w:rsidRDefault="00286E73" w:rsidP="00286E73">
      <w:pPr>
        <w:pStyle w:val="Secretara"/>
        <w:spacing w:after="0"/>
        <w:ind w:firstLine="0"/>
        <w:rPr>
          <w:rFonts w:ascii="Arial" w:hAnsi="Arial" w:cs="Arial"/>
          <w:b/>
          <w:spacing w:val="-3"/>
          <w:sz w:val="20"/>
        </w:rPr>
      </w:pPr>
    </w:p>
    <w:p w:rsidR="00286E73" w:rsidRDefault="00286E73" w:rsidP="00CD0DA1">
      <w:pPr>
        <w:ind w:firstLine="360"/>
        <w:jc w:val="both"/>
        <w:rPr>
          <w:rFonts w:ascii="Arial" w:hAnsi="Arial" w:cs="Arial"/>
          <w:sz w:val="20"/>
          <w:szCs w:val="20"/>
        </w:rPr>
      </w:pPr>
    </w:p>
    <w:p w:rsidR="00863E9C" w:rsidRPr="00863E9C" w:rsidRDefault="00863E9C" w:rsidP="00863E9C">
      <w:pPr>
        <w:numPr>
          <w:ilvl w:val="0"/>
          <w:numId w:val="14"/>
        </w:numPr>
        <w:jc w:val="both"/>
        <w:rPr>
          <w:rFonts w:ascii="Arial" w:hAnsi="Arial" w:cs="Arial"/>
          <w:sz w:val="20"/>
          <w:szCs w:val="20"/>
        </w:rPr>
      </w:pPr>
      <w:r w:rsidRPr="00863E9C">
        <w:rPr>
          <w:rFonts w:ascii="Arial" w:hAnsi="Arial" w:cs="Arial"/>
          <w:sz w:val="20"/>
          <w:szCs w:val="20"/>
        </w:rPr>
        <w:t>Efectivo y otros activos financieros</w:t>
      </w:r>
    </w:p>
    <w:p w:rsidR="00863E9C" w:rsidRPr="00863E9C" w:rsidRDefault="00863E9C" w:rsidP="00863E9C">
      <w:pPr>
        <w:ind w:left="360"/>
        <w:jc w:val="both"/>
        <w:rPr>
          <w:rFonts w:ascii="Arial" w:hAnsi="Arial" w:cs="Arial"/>
          <w:sz w:val="20"/>
          <w:szCs w:val="20"/>
        </w:rPr>
      </w:pPr>
    </w:p>
    <w:p w:rsidR="00863E9C" w:rsidRDefault="00863E9C" w:rsidP="00863E9C">
      <w:pPr>
        <w:jc w:val="both"/>
        <w:rPr>
          <w:rFonts w:ascii="Arial" w:hAnsi="Arial" w:cs="Arial"/>
          <w:sz w:val="20"/>
          <w:szCs w:val="20"/>
        </w:rPr>
      </w:pPr>
      <w:r w:rsidRPr="00863E9C">
        <w:rPr>
          <w:rFonts w:ascii="Arial" w:hAnsi="Arial" w:cs="Arial"/>
          <w:sz w:val="20"/>
          <w:szCs w:val="20"/>
        </w:rPr>
        <w:lastRenderedPageBreak/>
        <w:t>El detalle del epígrafe de efectivo y otros activos líquidos equivalentes al cierre del ejercicio es como sigue:</w:t>
      </w:r>
    </w:p>
    <w:p w:rsidR="00863E9C" w:rsidRDefault="00863E9C" w:rsidP="00863E9C">
      <w:pPr>
        <w:jc w:val="both"/>
        <w:rPr>
          <w:rFonts w:ascii="Arial" w:hAnsi="Arial" w:cs="Arial"/>
          <w:sz w:val="20"/>
          <w:szCs w:val="20"/>
        </w:rPr>
      </w:pPr>
    </w:p>
    <w:p w:rsidR="00863E9C" w:rsidRPr="00863E9C" w:rsidRDefault="00863E9C" w:rsidP="00863E9C">
      <w:pPr>
        <w:jc w:val="both"/>
        <w:rPr>
          <w:rFonts w:ascii="Arial" w:hAnsi="Arial" w:cs="Arial"/>
          <w:sz w:val="20"/>
          <w:szCs w:val="20"/>
        </w:rPr>
      </w:pPr>
    </w:p>
    <w:p w:rsidR="00CD0DA1" w:rsidRDefault="00A0248A" w:rsidP="00CD0DA1">
      <w:pPr>
        <w:ind w:firstLine="360"/>
        <w:jc w:val="both"/>
        <w:rPr>
          <w:rFonts w:ascii="Arial" w:hAnsi="Arial" w:cs="Arial"/>
          <w:sz w:val="20"/>
          <w:szCs w:val="20"/>
        </w:rPr>
      </w:pPr>
      <w:r w:rsidRPr="00A0248A">
        <w:rPr>
          <w:noProof/>
        </w:rPr>
        <w:pict>
          <v:shape id="_x0000_s1056" type="#_x0000_t75" style="position:absolute;left:0;text-align:left;margin-left:65.7pt;margin-top:3.5pt;width:273.75pt;height:45.3pt;z-index:251674624;mso-position-horizontal-relative:text;mso-position-vertical-relative:text">
            <v:imagedata r:id="rId21" o:title=""/>
            <w10:wrap type="square"/>
          </v:shape>
        </w:pict>
      </w:r>
    </w:p>
    <w:p w:rsidR="00CD0DA1" w:rsidRDefault="00CD0DA1" w:rsidP="00CD0DA1">
      <w:pPr>
        <w:ind w:firstLine="360"/>
        <w:jc w:val="both"/>
        <w:rPr>
          <w:rFonts w:ascii="Arial" w:hAnsi="Arial" w:cs="Arial"/>
          <w:sz w:val="20"/>
          <w:szCs w:val="20"/>
        </w:rPr>
      </w:pPr>
    </w:p>
    <w:p w:rsidR="00CD0DA1" w:rsidRDefault="00CD0DA1" w:rsidP="00CD0DA1">
      <w:pPr>
        <w:ind w:firstLine="360"/>
        <w:jc w:val="both"/>
        <w:rPr>
          <w:rFonts w:ascii="Arial" w:hAnsi="Arial" w:cs="Arial"/>
          <w:sz w:val="20"/>
          <w:szCs w:val="20"/>
        </w:rPr>
      </w:pPr>
    </w:p>
    <w:p w:rsidR="00CD0DA1" w:rsidRDefault="00CD0DA1" w:rsidP="00CD0DA1">
      <w:pPr>
        <w:ind w:firstLine="360"/>
        <w:jc w:val="both"/>
        <w:rPr>
          <w:rFonts w:ascii="Arial" w:hAnsi="Arial" w:cs="Arial"/>
          <w:sz w:val="20"/>
          <w:szCs w:val="20"/>
        </w:rPr>
      </w:pPr>
    </w:p>
    <w:p w:rsidR="00CD0DA1" w:rsidRPr="00CD0DA1" w:rsidRDefault="00CD0DA1" w:rsidP="00E24DE3">
      <w:pPr>
        <w:jc w:val="both"/>
        <w:rPr>
          <w:rFonts w:ascii="Arial" w:hAnsi="Arial" w:cs="Arial"/>
          <w:sz w:val="20"/>
          <w:szCs w:val="20"/>
        </w:rPr>
      </w:pPr>
    </w:p>
    <w:p w:rsidR="00E06979" w:rsidRDefault="00E06979" w:rsidP="00D81B85">
      <w:pPr>
        <w:jc w:val="both"/>
        <w:rPr>
          <w:rFonts w:ascii="Arial" w:hAnsi="Arial" w:cs="Arial"/>
          <w:b/>
          <w:sz w:val="20"/>
          <w:szCs w:val="20"/>
        </w:rPr>
      </w:pPr>
    </w:p>
    <w:p w:rsidR="00E06979" w:rsidRDefault="00E24DE3" w:rsidP="00D81B85">
      <w:pPr>
        <w:jc w:val="both"/>
        <w:rPr>
          <w:rFonts w:ascii="Arial" w:hAnsi="Arial" w:cs="Arial"/>
          <w:b/>
          <w:sz w:val="20"/>
          <w:szCs w:val="20"/>
        </w:rPr>
      </w:pPr>
      <w:r>
        <w:rPr>
          <w:rFonts w:ascii="Arial" w:hAnsi="Arial" w:cs="Arial"/>
          <w:b/>
          <w:sz w:val="20"/>
          <w:szCs w:val="20"/>
        </w:rPr>
        <w:t>6</w:t>
      </w:r>
      <w:r w:rsidR="00E06979" w:rsidRPr="00D81B85">
        <w:rPr>
          <w:rFonts w:ascii="Arial" w:hAnsi="Arial" w:cs="Arial"/>
          <w:b/>
          <w:sz w:val="20"/>
          <w:szCs w:val="20"/>
        </w:rPr>
        <w:t xml:space="preserve">.-  </w:t>
      </w:r>
      <w:r>
        <w:rPr>
          <w:rFonts w:ascii="Arial" w:hAnsi="Arial" w:cs="Arial"/>
          <w:b/>
          <w:sz w:val="20"/>
          <w:szCs w:val="20"/>
        </w:rPr>
        <w:t>PASIVOS FINANCIEROS</w:t>
      </w:r>
    </w:p>
    <w:p w:rsidR="000267A0" w:rsidRDefault="000267A0" w:rsidP="00D81B85">
      <w:pPr>
        <w:jc w:val="both"/>
        <w:rPr>
          <w:rFonts w:ascii="Arial" w:hAnsi="Arial" w:cs="Arial"/>
          <w:b/>
          <w:sz w:val="20"/>
          <w:szCs w:val="20"/>
        </w:rPr>
      </w:pPr>
    </w:p>
    <w:p w:rsidR="000267A0" w:rsidRDefault="000267A0" w:rsidP="00D81B85">
      <w:pPr>
        <w:jc w:val="both"/>
        <w:rPr>
          <w:rFonts w:ascii="Arial" w:hAnsi="Arial" w:cs="Arial"/>
          <w:b/>
          <w:sz w:val="20"/>
          <w:szCs w:val="20"/>
        </w:rPr>
      </w:pPr>
      <w:r w:rsidRPr="000267A0">
        <w:rPr>
          <w:rFonts w:ascii="Arial" w:hAnsi="Arial" w:cs="Arial"/>
          <w:b/>
          <w:sz w:val="20"/>
          <w:szCs w:val="20"/>
        </w:rPr>
        <w:t>Clasificación por vencimientos</w:t>
      </w:r>
    </w:p>
    <w:p w:rsidR="000267A0" w:rsidRDefault="000267A0" w:rsidP="00D81B85">
      <w:pPr>
        <w:jc w:val="both"/>
        <w:rPr>
          <w:rFonts w:ascii="Arial" w:hAnsi="Arial" w:cs="Arial"/>
          <w:b/>
          <w:sz w:val="20"/>
          <w:szCs w:val="20"/>
        </w:rPr>
      </w:pPr>
    </w:p>
    <w:p w:rsidR="000267A0" w:rsidRPr="000267A0" w:rsidRDefault="000267A0" w:rsidP="000267A0">
      <w:pPr>
        <w:jc w:val="both"/>
        <w:rPr>
          <w:rFonts w:ascii="Arial" w:hAnsi="Arial" w:cs="Arial"/>
          <w:sz w:val="20"/>
          <w:szCs w:val="20"/>
        </w:rPr>
      </w:pPr>
      <w:r w:rsidRPr="000267A0">
        <w:rPr>
          <w:rFonts w:ascii="Arial" w:hAnsi="Arial" w:cs="Arial"/>
          <w:sz w:val="20"/>
          <w:szCs w:val="20"/>
        </w:rPr>
        <w:t>Las clasificaciones por vencimientos de los pasivos financieros se detallan en el siguiente cuadro:</w:t>
      </w:r>
    </w:p>
    <w:p w:rsidR="000267A0" w:rsidRDefault="000267A0" w:rsidP="00D81B85">
      <w:pPr>
        <w:jc w:val="both"/>
        <w:rPr>
          <w:rFonts w:ascii="Arial" w:hAnsi="Arial" w:cs="Arial"/>
          <w:b/>
          <w:sz w:val="20"/>
          <w:szCs w:val="20"/>
        </w:rPr>
      </w:pPr>
    </w:p>
    <w:p w:rsidR="000267A0" w:rsidRDefault="00D552EE" w:rsidP="00D81B85">
      <w:pPr>
        <w:jc w:val="both"/>
        <w:rPr>
          <w:rFonts w:ascii="Arial" w:hAnsi="Arial" w:cs="Arial"/>
          <w:b/>
          <w:sz w:val="20"/>
          <w:szCs w:val="20"/>
        </w:rPr>
      </w:pPr>
      <w:r w:rsidRPr="00D552EE">
        <w:rPr>
          <w:szCs w:val="20"/>
        </w:rPr>
        <w:pict>
          <v:shape id="_x0000_i1046" type="#_x0000_t75" style="width:443.25pt;height:263.25pt">
            <v:imagedata r:id="rId22" o:title=""/>
          </v:shape>
        </w:pict>
      </w:r>
    </w:p>
    <w:p w:rsidR="000267A0" w:rsidRDefault="000267A0" w:rsidP="00D81B85">
      <w:pPr>
        <w:jc w:val="both"/>
        <w:rPr>
          <w:rFonts w:ascii="Arial" w:hAnsi="Arial" w:cs="Arial"/>
          <w:b/>
          <w:sz w:val="20"/>
          <w:szCs w:val="20"/>
        </w:rPr>
      </w:pPr>
    </w:p>
    <w:p w:rsidR="00261722" w:rsidRPr="00261722" w:rsidRDefault="00261722" w:rsidP="00261722">
      <w:pPr>
        <w:ind w:right="-316"/>
        <w:jc w:val="both"/>
        <w:rPr>
          <w:rFonts w:ascii="Arial" w:hAnsi="Arial" w:cs="Arial"/>
          <w:sz w:val="20"/>
          <w:szCs w:val="20"/>
        </w:rPr>
      </w:pPr>
      <w:r w:rsidRPr="00261722">
        <w:rPr>
          <w:rFonts w:ascii="Arial" w:hAnsi="Arial" w:cs="Arial"/>
          <w:sz w:val="20"/>
          <w:szCs w:val="20"/>
        </w:rPr>
        <w:t xml:space="preserve">El epígrafe de “Deudas a corto plazo” al cierre del ejercicio asciende a 23.473.429,00 € (0 € en 2015) y se corresponde con los préstamos recibidos del socio Canarias </w:t>
      </w:r>
      <w:proofErr w:type="spellStart"/>
      <w:r w:rsidRPr="00261722">
        <w:rPr>
          <w:rFonts w:ascii="Arial" w:hAnsi="Arial" w:cs="Arial"/>
          <w:sz w:val="20"/>
          <w:szCs w:val="20"/>
        </w:rPr>
        <w:t>Submarine</w:t>
      </w:r>
      <w:proofErr w:type="spellEnd"/>
      <w:r w:rsidRPr="00261722">
        <w:rPr>
          <w:rFonts w:ascii="Arial" w:hAnsi="Arial" w:cs="Arial"/>
          <w:sz w:val="20"/>
          <w:szCs w:val="20"/>
        </w:rPr>
        <w:t xml:space="preserve"> Link, SL. </w:t>
      </w:r>
      <w:proofErr w:type="gramStart"/>
      <w:r w:rsidR="00FB5366">
        <w:rPr>
          <w:rFonts w:ascii="Arial" w:hAnsi="Arial" w:cs="Arial"/>
          <w:sz w:val="20"/>
          <w:szCs w:val="20"/>
        </w:rPr>
        <w:t>q</w:t>
      </w:r>
      <w:r w:rsidRPr="00261722">
        <w:rPr>
          <w:rFonts w:ascii="Arial" w:hAnsi="Arial" w:cs="Arial"/>
          <w:sz w:val="20"/>
          <w:szCs w:val="20"/>
        </w:rPr>
        <w:t>ue</w:t>
      </w:r>
      <w:proofErr w:type="gramEnd"/>
      <w:r w:rsidRPr="00261722">
        <w:rPr>
          <w:rFonts w:ascii="Arial" w:hAnsi="Arial" w:cs="Arial"/>
          <w:sz w:val="20"/>
          <w:szCs w:val="20"/>
        </w:rPr>
        <w:t xml:space="preserve"> se han convertido en capital social en diciembre de 2016, pero figura pendiente de inscripción en el registro mercantil de Santa Cruz de Tenerife a 31/12/16.  (Nota 12).</w:t>
      </w:r>
    </w:p>
    <w:p w:rsidR="000267A0" w:rsidRPr="00261722" w:rsidRDefault="000267A0" w:rsidP="00D81B85">
      <w:pPr>
        <w:jc w:val="both"/>
        <w:rPr>
          <w:rFonts w:ascii="Arial" w:hAnsi="Arial" w:cs="Arial"/>
          <w:sz w:val="20"/>
          <w:szCs w:val="20"/>
        </w:rPr>
      </w:pPr>
    </w:p>
    <w:p w:rsidR="000267A0" w:rsidRPr="00261722" w:rsidRDefault="000267A0" w:rsidP="00D81B85">
      <w:pPr>
        <w:jc w:val="both"/>
        <w:rPr>
          <w:rFonts w:ascii="Arial" w:hAnsi="Arial" w:cs="Arial"/>
          <w:sz w:val="20"/>
          <w:szCs w:val="20"/>
        </w:rPr>
      </w:pPr>
    </w:p>
    <w:p w:rsidR="00E06979" w:rsidRPr="000267A0" w:rsidRDefault="000267A0" w:rsidP="00D81B85">
      <w:pPr>
        <w:autoSpaceDE w:val="0"/>
        <w:autoSpaceDN w:val="0"/>
        <w:adjustRightInd w:val="0"/>
        <w:spacing w:after="120"/>
        <w:jc w:val="both"/>
        <w:rPr>
          <w:rFonts w:ascii="Arial" w:hAnsi="Arial" w:cs="Arial"/>
          <w:sz w:val="20"/>
          <w:szCs w:val="20"/>
        </w:rPr>
      </w:pPr>
      <w:r w:rsidRPr="000267A0">
        <w:rPr>
          <w:rFonts w:ascii="Arial" w:hAnsi="Arial" w:cs="Arial"/>
          <w:sz w:val="20"/>
          <w:szCs w:val="20"/>
        </w:rPr>
        <w:t>No se mantiene ningún tipo de pólizas de crédito con entidades bancarias.</w:t>
      </w:r>
    </w:p>
    <w:p w:rsidR="000267A0" w:rsidRPr="00D81B85" w:rsidRDefault="000267A0" w:rsidP="00D81B85">
      <w:pPr>
        <w:autoSpaceDE w:val="0"/>
        <w:autoSpaceDN w:val="0"/>
        <w:adjustRightInd w:val="0"/>
        <w:spacing w:after="120"/>
        <w:jc w:val="both"/>
        <w:rPr>
          <w:rFonts w:ascii="Arial" w:hAnsi="Arial" w:cs="Arial"/>
          <w:b/>
          <w:sz w:val="20"/>
          <w:szCs w:val="20"/>
        </w:rPr>
      </w:pPr>
    </w:p>
    <w:p w:rsidR="00E06979" w:rsidRDefault="00E06979" w:rsidP="0008540A">
      <w:pPr>
        <w:tabs>
          <w:tab w:val="left" w:pos="-720"/>
        </w:tabs>
        <w:jc w:val="both"/>
        <w:rPr>
          <w:rFonts w:ascii="Arial" w:hAnsi="Arial" w:cs="Arial"/>
          <w:b/>
          <w:sz w:val="20"/>
        </w:rPr>
      </w:pPr>
      <w:r>
        <w:rPr>
          <w:rFonts w:ascii="Arial" w:hAnsi="Arial" w:cs="Arial"/>
          <w:b/>
          <w:sz w:val="20"/>
        </w:rPr>
        <w:t>7.</w:t>
      </w:r>
      <w:r w:rsidR="000267A0">
        <w:rPr>
          <w:rFonts w:ascii="Arial" w:hAnsi="Arial" w:cs="Arial"/>
          <w:b/>
          <w:sz w:val="20"/>
        </w:rPr>
        <w:t xml:space="preserve"> FONDOS PROPIOS</w:t>
      </w:r>
    </w:p>
    <w:p w:rsidR="000267A0" w:rsidRDefault="000267A0" w:rsidP="0008540A">
      <w:pPr>
        <w:tabs>
          <w:tab w:val="left" w:pos="-720"/>
        </w:tabs>
        <w:jc w:val="both"/>
        <w:rPr>
          <w:rFonts w:ascii="Arial" w:hAnsi="Arial" w:cs="Arial"/>
          <w:b/>
          <w:sz w:val="20"/>
        </w:rPr>
      </w:pPr>
    </w:p>
    <w:p w:rsidR="000267A0" w:rsidRPr="000267A0" w:rsidRDefault="000267A0" w:rsidP="000267A0">
      <w:pPr>
        <w:tabs>
          <w:tab w:val="left" w:pos="-720"/>
        </w:tabs>
        <w:jc w:val="both"/>
        <w:rPr>
          <w:rFonts w:ascii="Arial" w:hAnsi="Arial" w:cs="Arial"/>
          <w:sz w:val="20"/>
        </w:rPr>
      </w:pPr>
      <w:r w:rsidRPr="000267A0">
        <w:rPr>
          <w:rFonts w:ascii="Arial" w:hAnsi="Arial" w:cs="Arial"/>
          <w:sz w:val="20"/>
        </w:rPr>
        <w:t>El Capital Social de la Sociedad al cierre del ejercicio 20</w:t>
      </w:r>
      <w:r>
        <w:rPr>
          <w:rFonts w:ascii="Arial" w:hAnsi="Arial" w:cs="Arial"/>
          <w:sz w:val="20"/>
        </w:rPr>
        <w:t>16</w:t>
      </w:r>
      <w:r w:rsidRPr="000267A0">
        <w:rPr>
          <w:rFonts w:ascii="Arial" w:hAnsi="Arial" w:cs="Arial"/>
          <w:sz w:val="20"/>
        </w:rPr>
        <w:t xml:space="preserve"> es de 3.000,00 euros dividido en </w:t>
      </w:r>
      <w:r>
        <w:rPr>
          <w:rFonts w:ascii="Arial" w:hAnsi="Arial" w:cs="Arial"/>
          <w:sz w:val="20"/>
        </w:rPr>
        <w:t xml:space="preserve">3.000 participaciones, iguales, </w:t>
      </w:r>
      <w:r w:rsidRPr="000267A0">
        <w:rPr>
          <w:rFonts w:ascii="Arial" w:hAnsi="Arial" w:cs="Arial"/>
          <w:sz w:val="20"/>
        </w:rPr>
        <w:t xml:space="preserve">acumulables e indivisibles, de 1 euro de valor nominal, numeradas de la 1 a la 3000, ambas inclusive, totalmente suscritas y desembolsadas por el  socio único Canarias </w:t>
      </w:r>
      <w:proofErr w:type="spellStart"/>
      <w:r w:rsidRPr="000267A0">
        <w:rPr>
          <w:rFonts w:ascii="Arial" w:hAnsi="Arial" w:cs="Arial"/>
          <w:sz w:val="20"/>
        </w:rPr>
        <w:t>Submarine</w:t>
      </w:r>
      <w:proofErr w:type="spellEnd"/>
      <w:r w:rsidRPr="000267A0">
        <w:rPr>
          <w:rFonts w:ascii="Arial" w:hAnsi="Arial" w:cs="Arial"/>
          <w:sz w:val="20"/>
        </w:rPr>
        <w:t xml:space="preserve"> Link, SL</w:t>
      </w:r>
      <w:r w:rsidR="00D552EE">
        <w:rPr>
          <w:rFonts w:ascii="Arial" w:hAnsi="Arial" w:cs="Arial"/>
          <w:sz w:val="20"/>
        </w:rPr>
        <w:t>, que ostenta al cierre el 100% del capital social.</w:t>
      </w:r>
    </w:p>
    <w:p w:rsidR="000267A0" w:rsidRPr="000267A0" w:rsidRDefault="000267A0" w:rsidP="000267A0">
      <w:pPr>
        <w:tabs>
          <w:tab w:val="left" w:pos="-720"/>
        </w:tabs>
        <w:jc w:val="both"/>
        <w:rPr>
          <w:rFonts w:ascii="Arial" w:hAnsi="Arial" w:cs="Arial"/>
          <w:sz w:val="20"/>
        </w:rPr>
      </w:pPr>
    </w:p>
    <w:p w:rsidR="000267A0" w:rsidRDefault="000267A0" w:rsidP="000267A0">
      <w:pPr>
        <w:tabs>
          <w:tab w:val="left" w:pos="-720"/>
        </w:tabs>
        <w:jc w:val="both"/>
        <w:rPr>
          <w:rFonts w:ascii="Arial" w:hAnsi="Arial" w:cs="Arial"/>
          <w:sz w:val="20"/>
        </w:rPr>
      </w:pPr>
      <w:r w:rsidRPr="000267A0">
        <w:rPr>
          <w:rFonts w:ascii="Arial" w:hAnsi="Arial" w:cs="Arial"/>
          <w:sz w:val="20"/>
        </w:rPr>
        <w:t>Queda integrada en los Fondos Propios una prima de asunción de 1.350.000, euros, correspondientes  450 euros por participación.</w:t>
      </w:r>
    </w:p>
    <w:p w:rsidR="00041DC0" w:rsidRPr="000267A0" w:rsidRDefault="00041DC0" w:rsidP="000267A0">
      <w:pPr>
        <w:tabs>
          <w:tab w:val="left" w:pos="-720"/>
        </w:tabs>
        <w:jc w:val="both"/>
        <w:rPr>
          <w:rFonts w:ascii="Arial" w:hAnsi="Arial" w:cs="Arial"/>
          <w:sz w:val="20"/>
        </w:rPr>
      </w:pPr>
    </w:p>
    <w:p w:rsidR="000267A0" w:rsidRPr="00041DC0" w:rsidRDefault="00041DC0" w:rsidP="0008540A">
      <w:pPr>
        <w:tabs>
          <w:tab w:val="left" w:pos="-720"/>
        </w:tabs>
        <w:jc w:val="both"/>
        <w:rPr>
          <w:rFonts w:ascii="Arial" w:hAnsi="Arial" w:cs="Arial"/>
          <w:sz w:val="20"/>
        </w:rPr>
      </w:pPr>
      <w:r w:rsidRPr="00041DC0">
        <w:rPr>
          <w:rFonts w:ascii="Arial" w:hAnsi="Arial" w:cs="Arial"/>
          <w:sz w:val="20"/>
        </w:rPr>
        <w:t>Se realiza a 23/12/2016 una ampliación de capital por compensación de créditos, según nota 1</w:t>
      </w:r>
      <w:r>
        <w:rPr>
          <w:rFonts w:ascii="Arial" w:hAnsi="Arial" w:cs="Arial"/>
          <w:sz w:val="20"/>
        </w:rPr>
        <w:t>2</w:t>
      </w:r>
      <w:r w:rsidRPr="00041DC0">
        <w:rPr>
          <w:rFonts w:ascii="Arial" w:hAnsi="Arial" w:cs="Arial"/>
          <w:sz w:val="20"/>
        </w:rPr>
        <w:t xml:space="preserve"> de la Memoria.</w:t>
      </w:r>
    </w:p>
    <w:p w:rsidR="00261722" w:rsidRDefault="00261722" w:rsidP="0008540A">
      <w:pPr>
        <w:tabs>
          <w:tab w:val="left" w:pos="-720"/>
        </w:tabs>
        <w:jc w:val="both"/>
        <w:rPr>
          <w:rFonts w:ascii="Arial" w:hAnsi="Arial" w:cs="Arial"/>
          <w:b/>
          <w:sz w:val="20"/>
        </w:rPr>
      </w:pPr>
    </w:p>
    <w:p w:rsidR="00261722" w:rsidRDefault="00261722" w:rsidP="0008540A">
      <w:pPr>
        <w:tabs>
          <w:tab w:val="left" w:pos="-720"/>
        </w:tabs>
        <w:jc w:val="both"/>
        <w:rPr>
          <w:rFonts w:ascii="Arial" w:hAnsi="Arial" w:cs="Arial"/>
          <w:b/>
          <w:sz w:val="20"/>
        </w:rPr>
      </w:pPr>
    </w:p>
    <w:p w:rsidR="000267A0" w:rsidRPr="000267A0" w:rsidRDefault="000267A0" w:rsidP="000267A0">
      <w:pPr>
        <w:tabs>
          <w:tab w:val="left" w:pos="-720"/>
        </w:tabs>
        <w:jc w:val="both"/>
        <w:rPr>
          <w:rFonts w:ascii="Arial" w:hAnsi="Arial" w:cs="Arial"/>
          <w:sz w:val="20"/>
          <w:u w:val="single"/>
        </w:rPr>
      </w:pPr>
      <w:r w:rsidRPr="000267A0">
        <w:rPr>
          <w:rFonts w:ascii="Arial" w:hAnsi="Arial" w:cs="Arial"/>
          <w:sz w:val="20"/>
          <w:u w:val="single"/>
        </w:rPr>
        <w:t>Acciones o participaciones propias</w:t>
      </w:r>
    </w:p>
    <w:p w:rsidR="000267A0" w:rsidRPr="000267A0" w:rsidRDefault="000267A0" w:rsidP="000267A0">
      <w:pPr>
        <w:tabs>
          <w:tab w:val="left" w:pos="-720"/>
        </w:tabs>
        <w:jc w:val="both"/>
        <w:rPr>
          <w:rFonts w:ascii="Arial" w:hAnsi="Arial" w:cs="Arial"/>
          <w:sz w:val="20"/>
        </w:rPr>
      </w:pPr>
    </w:p>
    <w:p w:rsidR="000267A0" w:rsidRDefault="000267A0" w:rsidP="000267A0">
      <w:pPr>
        <w:tabs>
          <w:tab w:val="left" w:pos="-720"/>
        </w:tabs>
        <w:jc w:val="both"/>
        <w:rPr>
          <w:rFonts w:ascii="Arial" w:hAnsi="Arial" w:cs="Arial"/>
          <w:sz w:val="20"/>
        </w:rPr>
      </w:pPr>
      <w:r w:rsidRPr="000267A0">
        <w:rPr>
          <w:rFonts w:ascii="Arial" w:hAnsi="Arial" w:cs="Arial"/>
          <w:sz w:val="20"/>
        </w:rPr>
        <w:t>La empresa no ha dispuesto de acciones o participaciones propias durante el ejercicio.</w:t>
      </w:r>
    </w:p>
    <w:p w:rsidR="000267A0" w:rsidRDefault="000267A0" w:rsidP="000267A0">
      <w:pPr>
        <w:tabs>
          <w:tab w:val="left" w:pos="-720"/>
        </w:tabs>
        <w:jc w:val="both"/>
        <w:rPr>
          <w:rFonts w:ascii="Arial" w:hAnsi="Arial" w:cs="Arial"/>
          <w:sz w:val="20"/>
        </w:rPr>
      </w:pPr>
    </w:p>
    <w:p w:rsidR="00532D89" w:rsidRDefault="00532D89" w:rsidP="000267A0">
      <w:pPr>
        <w:tabs>
          <w:tab w:val="left" w:pos="-720"/>
        </w:tabs>
        <w:jc w:val="both"/>
        <w:rPr>
          <w:rFonts w:ascii="Arial" w:hAnsi="Arial" w:cs="Arial"/>
          <w:sz w:val="20"/>
          <w:u w:val="single"/>
        </w:rPr>
      </w:pPr>
    </w:p>
    <w:p w:rsidR="000267A0" w:rsidRDefault="000267A0" w:rsidP="000267A0">
      <w:pPr>
        <w:tabs>
          <w:tab w:val="left" w:pos="-720"/>
        </w:tabs>
        <w:jc w:val="both"/>
        <w:rPr>
          <w:rFonts w:ascii="Arial" w:hAnsi="Arial" w:cs="Arial"/>
          <w:sz w:val="20"/>
          <w:u w:val="single"/>
        </w:rPr>
      </w:pPr>
      <w:r w:rsidRPr="000267A0">
        <w:rPr>
          <w:rFonts w:ascii="Arial" w:hAnsi="Arial" w:cs="Arial"/>
          <w:sz w:val="20"/>
          <w:u w:val="single"/>
        </w:rPr>
        <w:t>Reservas</w:t>
      </w:r>
    </w:p>
    <w:p w:rsidR="00532D89" w:rsidRPr="000267A0" w:rsidRDefault="00532D89" w:rsidP="000267A0">
      <w:pPr>
        <w:tabs>
          <w:tab w:val="left" w:pos="-720"/>
        </w:tabs>
        <w:jc w:val="both"/>
        <w:rPr>
          <w:rFonts w:ascii="Arial" w:hAnsi="Arial" w:cs="Arial"/>
          <w:sz w:val="20"/>
          <w:u w:val="single"/>
        </w:rPr>
      </w:pPr>
    </w:p>
    <w:p w:rsidR="000267A0" w:rsidRDefault="00092BE2" w:rsidP="000267A0">
      <w:pPr>
        <w:tabs>
          <w:tab w:val="left" w:pos="-720"/>
        </w:tabs>
        <w:jc w:val="both"/>
      </w:pPr>
      <w:r w:rsidRPr="00092BE2">
        <w:pict>
          <v:shape id="_x0000_i1050" type="#_x0000_t75" style="width:264pt;height:60.75pt">
            <v:imagedata r:id="rId23" o:title=""/>
          </v:shape>
        </w:pict>
      </w:r>
    </w:p>
    <w:p w:rsidR="00092BE2" w:rsidRDefault="00092BE2" w:rsidP="000267A0">
      <w:pPr>
        <w:tabs>
          <w:tab w:val="left" w:pos="-720"/>
        </w:tabs>
        <w:jc w:val="both"/>
        <w:rPr>
          <w:rFonts w:ascii="Arial" w:hAnsi="Arial" w:cs="Arial"/>
          <w:sz w:val="20"/>
        </w:rPr>
      </w:pPr>
    </w:p>
    <w:p w:rsidR="000267A0" w:rsidRPr="00CE2FB3" w:rsidRDefault="000267A0" w:rsidP="000267A0">
      <w:pPr>
        <w:jc w:val="both"/>
        <w:rPr>
          <w:rFonts w:ascii="Arial" w:hAnsi="Arial" w:cs="Arial"/>
          <w:sz w:val="20"/>
        </w:rPr>
      </w:pPr>
      <w:r w:rsidRPr="00B57888">
        <w:rPr>
          <w:rFonts w:ascii="Arial" w:hAnsi="Arial" w:cs="Arial"/>
          <w:sz w:val="20"/>
        </w:rPr>
        <w:t xml:space="preserve">De acuerdo con el Texto Refundido de la Ley de Sociedades </w:t>
      </w:r>
      <w:r>
        <w:rPr>
          <w:rFonts w:ascii="Arial" w:hAnsi="Arial" w:cs="Arial"/>
          <w:sz w:val="20"/>
        </w:rPr>
        <w:t>de Capital</w:t>
      </w:r>
      <w:r w:rsidRPr="00B57888">
        <w:rPr>
          <w:rFonts w:ascii="Arial" w:hAnsi="Arial" w:cs="Arial"/>
          <w:sz w:val="20"/>
        </w:rPr>
        <w:t>, debe destinarse una cifra igual al 10% del beneficio del ejercicio a la reserva legal hasta que ésta  alcance, al menos, el 20% del capital social.</w:t>
      </w:r>
    </w:p>
    <w:p w:rsidR="000267A0" w:rsidRPr="00FE2733" w:rsidRDefault="000267A0" w:rsidP="000267A0">
      <w:pPr>
        <w:jc w:val="both"/>
        <w:rPr>
          <w:rFonts w:ascii="Arial" w:hAnsi="Arial" w:cs="Arial"/>
          <w:sz w:val="20"/>
          <w:highlight w:val="yellow"/>
        </w:rPr>
      </w:pPr>
    </w:p>
    <w:p w:rsidR="000267A0" w:rsidRDefault="000267A0" w:rsidP="000267A0">
      <w:pPr>
        <w:tabs>
          <w:tab w:val="left" w:pos="-720"/>
        </w:tabs>
        <w:jc w:val="both"/>
        <w:rPr>
          <w:rFonts w:ascii="Arial" w:hAnsi="Arial" w:cs="Arial"/>
          <w:sz w:val="20"/>
        </w:rPr>
      </w:pPr>
      <w:r w:rsidRPr="00B57888">
        <w:rPr>
          <w:rFonts w:ascii="Arial" w:hAnsi="Arial" w:cs="Arial"/>
          <w:sz w:val="20"/>
        </w:rPr>
        <w:t>Mientras no supere el 20% del capital social, esta reserva sólo podrá destinarse a la compensación de pérdidas y siempre que no existan otras reservas disponibles suficientes para este fin.</w:t>
      </w:r>
    </w:p>
    <w:p w:rsidR="00E420E9" w:rsidRDefault="00E420E9" w:rsidP="000267A0">
      <w:pPr>
        <w:tabs>
          <w:tab w:val="left" w:pos="-720"/>
        </w:tabs>
        <w:jc w:val="both"/>
        <w:rPr>
          <w:rFonts w:ascii="Arial" w:hAnsi="Arial" w:cs="Arial"/>
          <w:sz w:val="20"/>
        </w:rPr>
      </w:pPr>
    </w:p>
    <w:p w:rsidR="00A62F79" w:rsidRDefault="00A62F79" w:rsidP="000267A0">
      <w:pPr>
        <w:tabs>
          <w:tab w:val="left" w:pos="-720"/>
        </w:tabs>
        <w:jc w:val="both"/>
        <w:rPr>
          <w:rFonts w:ascii="Arial" w:hAnsi="Arial" w:cs="Arial"/>
          <w:sz w:val="20"/>
          <w:u w:val="single"/>
        </w:rPr>
      </w:pPr>
      <w:r w:rsidRPr="00A62F79">
        <w:rPr>
          <w:rFonts w:ascii="Arial" w:hAnsi="Arial" w:cs="Arial"/>
          <w:sz w:val="20"/>
          <w:u w:val="single"/>
        </w:rPr>
        <w:t>Aplicación del resultado</w:t>
      </w:r>
    </w:p>
    <w:p w:rsidR="00A62F79" w:rsidRDefault="00A62F79" w:rsidP="000267A0">
      <w:pPr>
        <w:tabs>
          <w:tab w:val="left" w:pos="-720"/>
        </w:tabs>
        <w:jc w:val="both"/>
        <w:rPr>
          <w:rFonts w:ascii="Arial" w:hAnsi="Arial" w:cs="Arial"/>
          <w:sz w:val="20"/>
          <w:u w:val="single"/>
        </w:rPr>
      </w:pPr>
    </w:p>
    <w:p w:rsidR="00A62F79" w:rsidRDefault="00A62F79" w:rsidP="000267A0">
      <w:pPr>
        <w:tabs>
          <w:tab w:val="left" w:pos="-720"/>
        </w:tabs>
        <w:jc w:val="both"/>
        <w:rPr>
          <w:rFonts w:ascii="Arial" w:hAnsi="Arial" w:cs="Arial"/>
          <w:sz w:val="20"/>
          <w:u w:val="single"/>
        </w:rPr>
      </w:pPr>
      <w:r>
        <w:rPr>
          <w:rFonts w:ascii="Arial" w:hAnsi="Arial" w:cs="Arial"/>
          <w:sz w:val="20"/>
          <w:u w:val="single"/>
        </w:rPr>
        <w:t>A continuación se detalla la propuesta de distribución de resultados:</w:t>
      </w:r>
    </w:p>
    <w:p w:rsidR="00A62F79" w:rsidRPr="00A62F79" w:rsidRDefault="00A62F79" w:rsidP="000267A0">
      <w:pPr>
        <w:tabs>
          <w:tab w:val="left" w:pos="-720"/>
        </w:tabs>
        <w:jc w:val="both"/>
        <w:rPr>
          <w:rFonts w:ascii="Arial" w:hAnsi="Arial" w:cs="Arial"/>
          <w:sz w:val="20"/>
          <w:u w:val="single"/>
        </w:rPr>
      </w:pPr>
    </w:p>
    <w:p w:rsidR="00E06979" w:rsidRDefault="00E06979" w:rsidP="00D81B85">
      <w:pPr>
        <w:jc w:val="both"/>
        <w:rPr>
          <w:rFonts w:ascii="Arial" w:hAnsi="Arial" w:cs="Arial"/>
          <w:b/>
          <w:sz w:val="20"/>
          <w:szCs w:val="20"/>
        </w:rPr>
      </w:pPr>
    </w:p>
    <w:p w:rsidR="00E420E9" w:rsidRDefault="00E420E9" w:rsidP="00D81B85">
      <w:pPr>
        <w:jc w:val="both"/>
        <w:rPr>
          <w:szCs w:val="20"/>
        </w:rPr>
      </w:pPr>
      <w:r w:rsidRPr="00E420E9">
        <w:rPr>
          <w:szCs w:val="20"/>
        </w:rPr>
        <w:pict>
          <v:shape id="_x0000_i1051" type="#_x0000_t75" style="width:264pt;height:114pt">
            <v:imagedata r:id="rId24" o:title=""/>
          </v:shape>
        </w:pict>
      </w:r>
    </w:p>
    <w:p w:rsidR="00E420E9" w:rsidRDefault="00E420E9" w:rsidP="00D81B85">
      <w:pPr>
        <w:jc w:val="both"/>
        <w:rPr>
          <w:rFonts w:ascii="Arial" w:hAnsi="Arial" w:cs="Arial"/>
          <w:b/>
          <w:sz w:val="20"/>
          <w:szCs w:val="20"/>
        </w:rPr>
      </w:pPr>
    </w:p>
    <w:p w:rsidR="00E06979" w:rsidRPr="00D81B85" w:rsidRDefault="00E06979" w:rsidP="00D81B85">
      <w:pPr>
        <w:jc w:val="both"/>
        <w:rPr>
          <w:rFonts w:ascii="Arial" w:hAnsi="Arial" w:cs="Arial"/>
          <w:b/>
          <w:sz w:val="20"/>
          <w:szCs w:val="20"/>
        </w:rPr>
      </w:pPr>
      <w:r w:rsidRPr="00D81B85">
        <w:rPr>
          <w:rFonts w:ascii="Arial" w:hAnsi="Arial" w:cs="Arial"/>
          <w:b/>
          <w:sz w:val="20"/>
          <w:szCs w:val="20"/>
        </w:rPr>
        <w:t xml:space="preserve">8.-  </w:t>
      </w:r>
      <w:r w:rsidR="000267A0">
        <w:rPr>
          <w:rFonts w:ascii="Arial" w:hAnsi="Arial" w:cs="Arial"/>
          <w:b/>
          <w:sz w:val="20"/>
          <w:szCs w:val="20"/>
        </w:rPr>
        <w:t>SITUACIÓN FISCAL</w:t>
      </w:r>
    </w:p>
    <w:p w:rsidR="00E06979" w:rsidRPr="00D81B85" w:rsidRDefault="00E06979" w:rsidP="00D81B85">
      <w:pPr>
        <w:jc w:val="both"/>
        <w:rPr>
          <w:rFonts w:ascii="Arial" w:hAnsi="Arial" w:cs="Arial"/>
          <w:b/>
          <w:sz w:val="20"/>
          <w:szCs w:val="20"/>
        </w:rPr>
      </w:pPr>
    </w:p>
    <w:p w:rsidR="0047799B" w:rsidRDefault="0047799B" w:rsidP="0047799B">
      <w:pPr>
        <w:tabs>
          <w:tab w:val="left" w:pos="1418"/>
          <w:tab w:val="left" w:pos="7655"/>
        </w:tabs>
        <w:contextualSpacing/>
        <w:jc w:val="both"/>
        <w:rPr>
          <w:rFonts w:ascii="Arial" w:hAnsi="Arial" w:cs="Arial"/>
          <w:sz w:val="20"/>
          <w:szCs w:val="20"/>
        </w:rPr>
      </w:pPr>
      <w:r w:rsidRPr="0047799B">
        <w:rPr>
          <w:rFonts w:ascii="Arial" w:hAnsi="Arial" w:cs="Arial"/>
          <w:sz w:val="20"/>
          <w:szCs w:val="20"/>
        </w:rPr>
        <w:t>El Impuesto sobre Beneficios reflejado en las cuentas anuales es el siguiente:</w:t>
      </w:r>
    </w:p>
    <w:p w:rsidR="00C8794D" w:rsidRDefault="00C8794D" w:rsidP="0047799B">
      <w:pPr>
        <w:tabs>
          <w:tab w:val="left" w:pos="1418"/>
          <w:tab w:val="left" w:pos="7655"/>
        </w:tabs>
        <w:contextualSpacing/>
        <w:jc w:val="both"/>
        <w:rPr>
          <w:rFonts w:ascii="Arial" w:hAnsi="Arial" w:cs="Arial"/>
          <w:sz w:val="20"/>
          <w:szCs w:val="20"/>
        </w:rPr>
      </w:pPr>
    </w:p>
    <w:tbl>
      <w:tblPr>
        <w:tblW w:w="0" w:type="auto"/>
        <w:tblInd w:w="40" w:type="dxa"/>
        <w:tblLayout w:type="fixed"/>
        <w:tblCellMar>
          <w:left w:w="70" w:type="dxa"/>
          <w:right w:w="70" w:type="dxa"/>
        </w:tblCellMar>
        <w:tblLook w:val="0000"/>
      </w:tblPr>
      <w:tblGrid>
        <w:gridCol w:w="3466"/>
        <w:gridCol w:w="1288"/>
        <w:gridCol w:w="1289"/>
      </w:tblGrid>
      <w:tr w:rsidR="00C8794D" w:rsidRPr="00C8794D" w:rsidTr="00C8794D">
        <w:tblPrEx>
          <w:tblCellMar>
            <w:top w:w="0" w:type="dxa"/>
            <w:bottom w:w="0" w:type="dxa"/>
          </w:tblCellMar>
        </w:tblPrEx>
        <w:trPr>
          <w:trHeight w:val="290"/>
        </w:trPr>
        <w:tc>
          <w:tcPr>
            <w:tcW w:w="3466" w:type="dxa"/>
            <w:tcBorders>
              <w:top w:val="single" w:sz="2" w:space="0" w:color="000000"/>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rPr>
                <w:rFonts w:ascii="Calibri" w:hAnsi="Calibri" w:cs="Calibri"/>
                <w:b/>
                <w:bCs/>
                <w:color w:val="000000"/>
                <w:sz w:val="20"/>
                <w:szCs w:val="20"/>
              </w:rPr>
            </w:pPr>
          </w:p>
        </w:tc>
        <w:tc>
          <w:tcPr>
            <w:tcW w:w="1288" w:type="dxa"/>
            <w:tcBorders>
              <w:top w:val="single" w:sz="2" w:space="0" w:color="000000"/>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jc w:val="right"/>
              <w:rPr>
                <w:rFonts w:ascii="Calibri" w:hAnsi="Calibri" w:cs="Calibri"/>
                <w:color w:val="000000"/>
                <w:sz w:val="22"/>
                <w:szCs w:val="22"/>
              </w:rPr>
            </w:pPr>
          </w:p>
        </w:tc>
        <w:tc>
          <w:tcPr>
            <w:tcW w:w="1289" w:type="dxa"/>
            <w:tcBorders>
              <w:top w:val="single" w:sz="2" w:space="0" w:color="000000"/>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jc w:val="right"/>
              <w:rPr>
                <w:rFonts w:ascii="Calibri" w:hAnsi="Calibri" w:cs="Calibri"/>
                <w:color w:val="000000"/>
                <w:sz w:val="22"/>
                <w:szCs w:val="22"/>
              </w:rPr>
            </w:pPr>
          </w:p>
        </w:tc>
      </w:tr>
      <w:tr w:rsidR="00C8794D" w:rsidRPr="00C8794D" w:rsidTr="00C8794D">
        <w:tblPrEx>
          <w:tblCellMar>
            <w:top w:w="0" w:type="dxa"/>
            <w:bottom w:w="0" w:type="dxa"/>
          </w:tblCellMar>
        </w:tblPrEx>
        <w:trPr>
          <w:trHeight w:val="290"/>
        </w:trPr>
        <w:tc>
          <w:tcPr>
            <w:tcW w:w="3466" w:type="dxa"/>
            <w:tcBorders>
              <w:top w:val="single" w:sz="2" w:space="0" w:color="000000"/>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rPr>
                <w:rFonts w:ascii="Calibri" w:hAnsi="Calibri" w:cs="Calibri"/>
                <w:color w:val="000000"/>
                <w:sz w:val="20"/>
                <w:szCs w:val="20"/>
              </w:rPr>
            </w:pPr>
          </w:p>
        </w:tc>
        <w:tc>
          <w:tcPr>
            <w:tcW w:w="1288" w:type="dxa"/>
            <w:tcBorders>
              <w:top w:val="single" w:sz="2" w:space="0" w:color="000000"/>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jc w:val="right"/>
              <w:rPr>
                <w:rFonts w:ascii="Calibri" w:hAnsi="Calibri" w:cs="Calibri"/>
                <w:color w:val="000000"/>
                <w:sz w:val="22"/>
                <w:szCs w:val="22"/>
              </w:rPr>
            </w:pPr>
            <w:r w:rsidRPr="00C8794D">
              <w:rPr>
                <w:rFonts w:ascii="Calibri" w:hAnsi="Calibri" w:cs="Calibri"/>
                <w:color w:val="000000"/>
                <w:sz w:val="22"/>
                <w:szCs w:val="22"/>
              </w:rPr>
              <w:t>2016</w:t>
            </w:r>
          </w:p>
        </w:tc>
        <w:tc>
          <w:tcPr>
            <w:tcW w:w="1289" w:type="dxa"/>
            <w:tcBorders>
              <w:top w:val="single" w:sz="2" w:space="0" w:color="000000"/>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jc w:val="right"/>
              <w:rPr>
                <w:rFonts w:ascii="Calibri" w:hAnsi="Calibri" w:cs="Calibri"/>
                <w:color w:val="000000"/>
                <w:sz w:val="22"/>
                <w:szCs w:val="22"/>
              </w:rPr>
            </w:pPr>
            <w:r w:rsidRPr="00C8794D">
              <w:rPr>
                <w:rFonts w:ascii="Calibri" w:hAnsi="Calibri" w:cs="Calibri"/>
                <w:color w:val="000000"/>
                <w:sz w:val="22"/>
                <w:szCs w:val="22"/>
              </w:rPr>
              <w:t>2015</w:t>
            </w:r>
          </w:p>
        </w:tc>
      </w:tr>
      <w:tr w:rsidR="00C8794D" w:rsidRPr="00C8794D" w:rsidTr="00C8794D">
        <w:tblPrEx>
          <w:tblCellMar>
            <w:top w:w="0" w:type="dxa"/>
            <w:bottom w:w="0" w:type="dxa"/>
          </w:tblCellMar>
        </w:tblPrEx>
        <w:trPr>
          <w:trHeight w:val="290"/>
        </w:trPr>
        <w:tc>
          <w:tcPr>
            <w:tcW w:w="3466" w:type="dxa"/>
            <w:tcBorders>
              <w:top w:val="single" w:sz="2" w:space="0" w:color="000000"/>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rPr>
                <w:rFonts w:ascii="Calibri" w:hAnsi="Calibri" w:cs="Calibri"/>
                <w:color w:val="000000"/>
                <w:sz w:val="20"/>
                <w:szCs w:val="20"/>
              </w:rPr>
            </w:pPr>
            <w:r w:rsidRPr="00C8794D">
              <w:rPr>
                <w:rFonts w:ascii="Calibri" w:hAnsi="Calibri" w:cs="Calibri"/>
                <w:color w:val="000000"/>
                <w:sz w:val="20"/>
                <w:szCs w:val="20"/>
              </w:rPr>
              <w:t>Impuesto sobre sociedades</w:t>
            </w:r>
          </w:p>
        </w:tc>
        <w:tc>
          <w:tcPr>
            <w:tcW w:w="1288" w:type="dxa"/>
            <w:tcBorders>
              <w:top w:val="single" w:sz="2" w:space="0" w:color="000000"/>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jc w:val="right"/>
              <w:rPr>
                <w:rFonts w:ascii="Calibri" w:hAnsi="Calibri" w:cs="Calibri"/>
                <w:color w:val="000000"/>
                <w:sz w:val="22"/>
                <w:szCs w:val="22"/>
              </w:rPr>
            </w:pPr>
            <w:r w:rsidRPr="00C8794D">
              <w:rPr>
                <w:rFonts w:ascii="Calibri" w:hAnsi="Calibri" w:cs="Calibri"/>
                <w:color w:val="000000"/>
                <w:sz w:val="22"/>
                <w:szCs w:val="22"/>
              </w:rPr>
              <w:t>3.072,30</w:t>
            </w:r>
          </w:p>
        </w:tc>
        <w:tc>
          <w:tcPr>
            <w:tcW w:w="1289" w:type="dxa"/>
            <w:tcBorders>
              <w:top w:val="single" w:sz="2" w:space="0" w:color="000000"/>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jc w:val="right"/>
              <w:rPr>
                <w:rFonts w:ascii="Calibri" w:hAnsi="Calibri" w:cs="Calibri"/>
                <w:color w:val="000000"/>
                <w:sz w:val="22"/>
                <w:szCs w:val="22"/>
              </w:rPr>
            </w:pPr>
          </w:p>
        </w:tc>
      </w:tr>
      <w:tr w:rsidR="00C8794D" w:rsidRPr="00C8794D" w:rsidTr="00C8794D">
        <w:tblPrEx>
          <w:tblCellMar>
            <w:top w:w="0" w:type="dxa"/>
            <w:bottom w:w="0" w:type="dxa"/>
          </w:tblCellMar>
        </w:tblPrEx>
        <w:trPr>
          <w:trHeight w:val="290"/>
        </w:trPr>
        <w:tc>
          <w:tcPr>
            <w:tcW w:w="3466" w:type="dxa"/>
            <w:tcBorders>
              <w:top w:val="single" w:sz="2" w:space="0" w:color="000000"/>
              <w:left w:val="single" w:sz="2" w:space="0" w:color="000000"/>
              <w:bottom w:val="single" w:sz="6" w:space="0" w:color="auto"/>
              <w:right w:val="single" w:sz="2" w:space="0" w:color="000000"/>
            </w:tcBorders>
          </w:tcPr>
          <w:p w:rsidR="00C8794D" w:rsidRPr="00C8794D" w:rsidRDefault="00C8794D" w:rsidP="00C8794D">
            <w:pPr>
              <w:autoSpaceDE w:val="0"/>
              <w:autoSpaceDN w:val="0"/>
              <w:adjustRightInd w:val="0"/>
              <w:rPr>
                <w:rFonts w:ascii="Calibri" w:hAnsi="Calibri" w:cs="Calibri"/>
                <w:color w:val="000000"/>
                <w:sz w:val="20"/>
                <w:szCs w:val="20"/>
              </w:rPr>
            </w:pPr>
            <w:r w:rsidRPr="00C8794D">
              <w:rPr>
                <w:rFonts w:ascii="Calibri" w:hAnsi="Calibri" w:cs="Calibri"/>
                <w:color w:val="000000"/>
                <w:sz w:val="20"/>
                <w:szCs w:val="20"/>
              </w:rPr>
              <w:t>Impuesto sobre beneficios diferidos</w:t>
            </w:r>
          </w:p>
        </w:tc>
        <w:tc>
          <w:tcPr>
            <w:tcW w:w="1288" w:type="dxa"/>
            <w:tcBorders>
              <w:top w:val="single" w:sz="2" w:space="0" w:color="000000"/>
              <w:left w:val="single" w:sz="2" w:space="0" w:color="000000"/>
              <w:bottom w:val="single" w:sz="6" w:space="0" w:color="auto"/>
              <w:right w:val="single" w:sz="2" w:space="0" w:color="000000"/>
            </w:tcBorders>
          </w:tcPr>
          <w:p w:rsidR="00C8794D" w:rsidRPr="00C8794D" w:rsidRDefault="00C8794D" w:rsidP="00C8794D">
            <w:pPr>
              <w:autoSpaceDE w:val="0"/>
              <w:autoSpaceDN w:val="0"/>
              <w:adjustRightInd w:val="0"/>
              <w:jc w:val="right"/>
              <w:rPr>
                <w:rFonts w:ascii="Calibri" w:hAnsi="Calibri" w:cs="Calibri"/>
                <w:color w:val="000000"/>
                <w:sz w:val="22"/>
                <w:szCs w:val="22"/>
              </w:rPr>
            </w:pPr>
            <w:r w:rsidRPr="00C8794D">
              <w:rPr>
                <w:rFonts w:ascii="Calibri" w:hAnsi="Calibri" w:cs="Calibri"/>
                <w:color w:val="000000"/>
                <w:sz w:val="22"/>
                <w:szCs w:val="22"/>
              </w:rPr>
              <w:t>3.748,52</w:t>
            </w:r>
          </w:p>
        </w:tc>
        <w:tc>
          <w:tcPr>
            <w:tcW w:w="1289" w:type="dxa"/>
            <w:tcBorders>
              <w:top w:val="single" w:sz="2" w:space="0" w:color="000000"/>
              <w:left w:val="single" w:sz="2" w:space="0" w:color="000000"/>
              <w:bottom w:val="single" w:sz="6" w:space="0" w:color="auto"/>
              <w:right w:val="single" w:sz="2" w:space="0" w:color="000000"/>
            </w:tcBorders>
          </w:tcPr>
          <w:p w:rsidR="00C8794D" w:rsidRPr="00C8794D" w:rsidRDefault="00C8794D" w:rsidP="00C8794D">
            <w:pPr>
              <w:autoSpaceDE w:val="0"/>
              <w:autoSpaceDN w:val="0"/>
              <w:adjustRightInd w:val="0"/>
              <w:jc w:val="right"/>
              <w:rPr>
                <w:rFonts w:ascii="Calibri" w:hAnsi="Calibri" w:cs="Calibri"/>
                <w:color w:val="000000"/>
                <w:sz w:val="22"/>
                <w:szCs w:val="22"/>
              </w:rPr>
            </w:pPr>
            <w:r w:rsidRPr="00C8794D">
              <w:rPr>
                <w:rFonts w:ascii="Calibri" w:hAnsi="Calibri" w:cs="Calibri"/>
                <w:color w:val="000000"/>
                <w:sz w:val="22"/>
                <w:szCs w:val="22"/>
              </w:rPr>
              <w:t>195.473,69</w:t>
            </w:r>
          </w:p>
        </w:tc>
      </w:tr>
      <w:tr w:rsidR="00C8794D" w:rsidRPr="00C8794D" w:rsidTr="00C8794D">
        <w:tblPrEx>
          <w:tblCellMar>
            <w:top w:w="0" w:type="dxa"/>
            <w:bottom w:w="0" w:type="dxa"/>
          </w:tblCellMar>
        </w:tblPrEx>
        <w:trPr>
          <w:trHeight w:val="290"/>
        </w:trPr>
        <w:tc>
          <w:tcPr>
            <w:tcW w:w="3466" w:type="dxa"/>
            <w:tcBorders>
              <w:top w:val="single" w:sz="6" w:space="0" w:color="auto"/>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rPr>
                <w:rFonts w:ascii="Calibri" w:hAnsi="Calibri" w:cs="Calibri"/>
                <w:b/>
                <w:bCs/>
                <w:color w:val="000000"/>
                <w:sz w:val="20"/>
                <w:szCs w:val="20"/>
              </w:rPr>
            </w:pPr>
            <w:r w:rsidRPr="00C8794D">
              <w:rPr>
                <w:rFonts w:ascii="Calibri" w:hAnsi="Calibri" w:cs="Calibri"/>
                <w:b/>
                <w:bCs/>
                <w:color w:val="000000"/>
                <w:sz w:val="20"/>
                <w:szCs w:val="20"/>
              </w:rPr>
              <w:t xml:space="preserve">Total Impuesto sobre beneficios </w:t>
            </w:r>
          </w:p>
        </w:tc>
        <w:tc>
          <w:tcPr>
            <w:tcW w:w="1288" w:type="dxa"/>
            <w:tcBorders>
              <w:top w:val="single" w:sz="6" w:space="0" w:color="auto"/>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jc w:val="right"/>
              <w:rPr>
                <w:rFonts w:ascii="Calibri" w:hAnsi="Calibri" w:cs="Calibri"/>
                <w:color w:val="000000"/>
                <w:sz w:val="22"/>
                <w:szCs w:val="22"/>
              </w:rPr>
            </w:pPr>
            <w:r w:rsidRPr="00C8794D">
              <w:rPr>
                <w:rFonts w:ascii="Calibri" w:hAnsi="Calibri" w:cs="Calibri"/>
                <w:color w:val="000000"/>
                <w:sz w:val="22"/>
                <w:szCs w:val="22"/>
              </w:rPr>
              <w:t>6.820,82</w:t>
            </w:r>
          </w:p>
        </w:tc>
        <w:tc>
          <w:tcPr>
            <w:tcW w:w="1289" w:type="dxa"/>
            <w:tcBorders>
              <w:top w:val="single" w:sz="6" w:space="0" w:color="auto"/>
              <w:left w:val="single" w:sz="2" w:space="0" w:color="000000"/>
              <w:bottom w:val="single" w:sz="2" w:space="0" w:color="000000"/>
              <w:right w:val="single" w:sz="2" w:space="0" w:color="000000"/>
            </w:tcBorders>
          </w:tcPr>
          <w:p w:rsidR="00C8794D" w:rsidRPr="00C8794D" w:rsidRDefault="00C8794D" w:rsidP="00C8794D">
            <w:pPr>
              <w:autoSpaceDE w:val="0"/>
              <w:autoSpaceDN w:val="0"/>
              <w:adjustRightInd w:val="0"/>
              <w:jc w:val="right"/>
              <w:rPr>
                <w:rFonts w:ascii="Calibri" w:hAnsi="Calibri" w:cs="Calibri"/>
                <w:color w:val="000000"/>
                <w:sz w:val="22"/>
                <w:szCs w:val="22"/>
              </w:rPr>
            </w:pPr>
            <w:r w:rsidRPr="00C8794D">
              <w:rPr>
                <w:rFonts w:ascii="Calibri" w:hAnsi="Calibri" w:cs="Calibri"/>
                <w:color w:val="000000"/>
                <w:sz w:val="22"/>
                <w:szCs w:val="22"/>
              </w:rPr>
              <w:t>195.473,69</w:t>
            </w:r>
          </w:p>
        </w:tc>
      </w:tr>
    </w:tbl>
    <w:p w:rsidR="00C8794D" w:rsidRPr="0047799B" w:rsidRDefault="00C8794D" w:rsidP="0047799B">
      <w:pPr>
        <w:tabs>
          <w:tab w:val="left" w:pos="1418"/>
          <w:tab w:val="left" w:pos="7655"/>
        </w:tabs>
        <w:contextualSpacing/>
        <w:jc w:val="both"/>
        <w:rPr>
          <w:rFonts w:ascii="Arial" w:hAnsi="Arial" w:cs="Arial"/>
          <w:sz w:val="20"/>
          <w:szCs w:val="20"/>
        </w:rPr>
      </w:pPr>
    </w:p>
    <w:p w:rsidR="0047799B" w:rsidRPr="007D3A08" w:rsidRDefault="0047799B" w:rsidP="0047799B">
      <w:pPr>
        <w:tabs>
          <w:tab w:val="left" w:pos="1418"/>
          <w:tab w:val="left" w:pos="7655"/>
        </w:tabs>
        <w:contextualSpacing/>
        <w:jc w:val="both"/>
        <w:rPr>
          <w:rFonts w:cs="Arial"/>
          <w:b/>
          <w:sz w:val="20"/>
          <w:szCs w:val="20"/>
        </w:rPr>
      </w:pPr>
    </w:p>
    <w:p w:rsidR="007436A3" w:rsidRPr="0089463A" w:rsidRDefault="007436A3" w:rsidP="007436A3">
      <w:pPr>
        <w:tabs>
          <w:tab w:val="left" w:pos="1418"/>
          <w:tab w:val="left" w:pos="7655"/>
        </w:tabs>
        <w:jc w:val="both"/>
        <w:rPr>
          <w:rFonts w:ascii="Arial" w:hAnsi="Arial" w:cs="Arial"/>
          <w:sz w:val="20"/>
          <w:szCs w:val="20"/>
          <w:u w:val="single"/>
        </w:rPr>
      </w:pPr>
      <w:r w:rsidRPr="0089463A">
        <w:rPr>
          <w:rFonts w:ascii="Arial" w:hAnsi="Arial" w:cs="Arial"/>
          <w:sz w:val="20"/>
          <w:szCs w:val="20"/>
          <w:u w:val="single"/>
        </w:rPr>
        <w:t>Bases imponibles negativas</w:t>
      </w:r>
    </w:p>
    <w:p w:rsidR="007436A3" w:rsidRPr="0089463A" w:rsidRDefault="007436A3" w:rsidP="007436A3">
      <w:pPr>
        <w:tabs>
          <w:tab w:val="left" w:pos="1418"/>
          <w:tab w:val="left" w:pos="7655"/>
        </w:tabs>
        <w:jc w:val="both"/>
        <w:rPr>
          <w:rFonts w:ascii="Arial" w:hAnsi="Arial" w:cs="Arial"/>
          <w:sz w:val="20"/>
          <w:szCs w:val="20"/>
          <w:u w:val="single"/>
        </w:rPr>
      </w:pPr>
    </w:p>
    <w:p w:rsidR="007436A3" w:rsidRDefault="007436A3" w:rsidP="007436A3">
      <w:pPr>
        <w:tabs>
          <w:tab w:val="left" w:pos="1418"/>
          <w:tab w:val="left" w:pos="7655"/>
        </w:tabs>
        <w:jc w:val="both"/>
        <w:rPr>
          <w:rFonts w:ascii="Arial" w:hAnsi="Arial" w:cs="Arial"/>
          <w:sz w:val="20"/>
          <w:szCs w:val="20"/>
        </w:rPr>
      </w:pPr>
      <w:r>
        <w:rPr>
          <w:rFonts w:ascii="Arial" w:hAnsi="Arial" w:cs="Arial"/>
          <w:sz w:val="20"/>
          <w:szCs w:val="20"/>
        </w:rPr>
        <w:t>S</w:t>
      </w:r>
      <w:r w:rsidRPr="0089463A">
        <w:rPr>
          <w:rFonts w:ascii="Arial" w:hAnsi="Arial" w:cs="Arial"/>
          <w:sz w:val="20"/>
          <w:szCs w:val="20"/>
        </w:rPr>
        <w:t>e detallan a continuación las bases imponibles negativas pendientes de compensar</w:t>
      </w:r>
    </w:p>
    <w:p w:rsidR="007436A3" w:rsidRDefault="009A2478" w:rsidP="007436A3">
      <w:pPr>
        <w:tabs>
          <w:tab w:val="left" w:pos="1418"/>
          <w:tab w:val="left" w:pos="7655"/>
        </w:tabs>
        <w:jc w:val="both"/>
        <w:rPr>
          <w:rFonts w:ascii="Arial" w:hAnsi="Arial" w:cs="Arial"/>
          <w:sz w:val="20"/>
          <w:szCs w:val="20"/>
        </w:rPr>
      </w:pPr>
      <w:r w:rsidRPr="004814E7">
        <w:rPr>
          <w:noProof/>
        </w:rPr>
        <w:pict>
          <v:shape id="_x0000_s1543" type="#_x0000_t75" style="position:absolute;left:0;text-align:left;margin-left:.45pt;margin-top:7.75pt;width:397.5pt;height:53.25pt;z-index:-251631616">
            <v:imagedata r:id="rId25" o:title=""/>
          </v:shape>
        </w:pict>
      </w:r>
    </w:p>
    <w:p w:rsidR="007436A3" w:rsidRPr="0089463A" w:rsidRDefault="007436A3" w:rsidP="007436A3">
      <w:pPr>
        <w:tabs>
          <w:tab w:val="left" w:pos="1418"/>
          <w:tab w:val="left" w:pos="7655"/>
        </w:tabs>
        <w:jc w:val="both"/>
        <w:rPr>
          <w:rFonts w:ascii="Arial" w:hAnsi="Arial" w:cs="Arial"/>
          <w:sz w:val="20"/>
          <w:szCs w:val="20"/>
        </w:rPr>
      </w:pPr>
    </w:p>
    <w:p w:rsidR="007436A3" w:rsidRPr="0089463A" w:rsidRDefault="007436A3" w:rsidP="007436A3">
      <w:pPr>
        <w:tabs>
          <w:tab w:val="left" w:pos="1418"/>
          <w:tab w:val="left" w:pos="7655"/>
        </w:tabs>
        <w:jc w:val="both"/>
        <w:rPr>
          <w:rFonts w:ascii="Arial" w:hAnsi="Arial" w:cs="Arial"/>
          <w:sz w:val="20"/>
          <w:szCs w:val="20"/>
          <w:u w:val="single"/>
        </w:rPr>
      </w:pPr>
    </w:p>
    <w:p w:rsidR="007436A3" w:rsidRDefault="007436A3" w:rsidP="007436A3">
      <w:pPr>
        <w:widowControl w:val="0"/>
        <w:jc w:val="both"/>
        <w:rPr>
          <w:rFonts w:ascii="Arial" w:hAnsi="Arial" w:cs="Arial"/>
          <w:sz w:val="20"/>
          <w:szCs w:val="20"/>
        </w:rPr>
      </w:pPr>
    </w:p>
    <w:p w:rsidR="007436A3" w:rsidRDefault="007436A3" w:rsidP="007436A3">
      <w:pPr>
        <w:widowControl w:val="0"/>
        <w:jc w:val="both"/>
        <w:rPr>
          <w:rFonts w:ascii="Arial" w:hAnsi="Arial" w:cs="Arial"/>
          <w:sz w:val="20"/>
          <w:szCs w:val="20"/>
        </w:rPr>
      </w:pPr>
    </w:p>
    <w:p w:rsidR="007436A3" w:rsidRDefault="007436A3" w:rsidP="007436A3">
      <w:pPr>
        <w:widowControl w:val="0"/>
        <w:jc w:val="both"/>
        <w:rPr>
          <w:rFonts w:ascii="Arial" w:hAnsi="Arial" w:cs="Arial"/>
          <w:sz w:val="20"/>
          <w:szCs w:val="20"/>
        </w:rPr>
      </w:pPr>
    </w:p>
    <w:p w:rsidR="007436A3" w:rsidRDefault="007436A3" w:rsidP="007436A3">
      <w:pPr>
        <w:widowControl w:val="0"/>
        <w:jc w:val="both"/>
        <w:rPr>
          <w:rFonts w:ascii="Arial" w:hAnsi="Arial" w:cs="Arial"/>
          <w:sz w:val="20"/>
          <w:szCs w:val="20"/>
        </w:rPr>
      </w:pPr>
    </w:p>
    <w:p w:rsidR="007436A3" w:rsidRPr="00D51524" w:rsidRDefault="007436A3" w:rsidP="0047799B">
      <w:pPr>
        <w:widowControl w:val="0"/>
        <w:autoSpaceDE w:val="0"/>
        <w:autoSpaceDN w:val="0"/>
        <w:adjustRightInd w:val="0"/>
        <w:jc w:val="both"/>
        <w:rPr>
          <w:rFonts w:ascii="Arial" w:hAnsi="Arial" w:cs="Arial"/>
          <w:sz w:val="20"/>
          <w:szCs w:val="20"/>
        </w:rPr>
      </w:pPr>
      <w:r w:rsidRPr="00D51524">
        <w:rPr>
          <w:rFonts w:ascii="Arial" w:hAnsi="Arial" w:cs="Arial"/>
          <w:sz w:val="20"/>
          <w:szCs w:val="20"/>
        </w:rPr>
        <w:lastRenderedPageBreak/>
        <w:t xml:space="preserve">La cuenta de crédito fiscal por compensación de pérdidas al inicio y fin del ejercicio presenta un saldo de </w:t>
      </w:r>
      <w:r>
        <w:rPr>
          <w:rFonts w:ascii="Arial" w:hAnsi="Arial" w:cs="Arial"/>
          <w:sz w:val="20"/>
          <w:szCs w:val="20"/>
        </w:rPr>
        <w:t>9.153,21</w:t>
      </w:r>
      <w:r w:rsidRPr="00D51524">
        <w:rPr>
          <w:rFonts w:ascii="Arial" w:hAnsi="Arial" w:cs="Arial"/>
          <w:sz w:val="20"/>
          <w:szCs w:val="20"/>
        </w:rPr>
        <w:t xml:space="preserve"> €.</w:t>
      </w:r>
    </w:p>
    <w:p w:rsidR="00E06979" w:rsidRDefault="00E06979" w:rsidP="00D81B85">
      <w:pPr>
        <w:jc w:val="both"/>
        <w:rPr>
          <w:rFonts w:ascii="Arial" w:hAnsi="Arial" w:cs="Arial"/>
          <w:sz w:val="20"/>
          <w:szCs w:val="20"/>
        </w:rPr>
      </w:pPr>
    </w:p>
    <w:p w:rsidR="00DD4CF5" w:rsidRDefault="00DD4CF5" w:rsidP="00D81B85">
      <w:pPr>
        <w:jc w:val="both"/>
        <w:rPr>
          <w:rFonts w:ascii="Arial" w:hAnsi="Arial" w:cs="Arial"/>
          <w:sz w:val="20"/>
          <w:szCs w:val="20"/>
        </w:rPr>
      </w:pPr>
    </w:p>
    <w:p w:rsidR="00DD4CF5" w:rsidRDefault="00DD4CF5" w:rsidP="00D81B85">
      <w:pPr>
        <w:jc w:val="both"/>
        <w:rPr>
          <w:rFonts w:ascii="Arial" w:hAnsi="Arial" w:cs="Arial"/>
          <w:sz w:val="20"/>
          <w:szCs w:val="20"/>
        </w:rPr>
      </w:pPr>
    </w:p>
    <w:p w:rsidR="00DD4CF5" w:rsidRPr="0044058E" w:rsidRDefault="00DD4CF5" w:rsidP="00DD4CF5">
      <w:pPr>
        <w:widowControl w:val="0"/>
        <w:jc w:val="both"/>
        <w:rPr>
          <w:rFonts w:ascii="Arial" w:hAnsi="Arial" w:cs="Arial"/>
          <w:sz w:val="20"/>
          <w:szCs w:val="20"/>
        </w:rPr>
      </w:pPr>
      <w:r w:rsidRPr="0044058E">
        <w:rPr>
          <w:rFonts w:ascii="Arial" w:hAnsi="Arial" w:cs="Arial"/>
          <w:sz w:val="20"/>
          <w:szCs w:val="20"/>
        </w:rPr>
        <w:t>La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DD4CF5" w:rsidRPr="0044058E" w:rsidRDefault="00DD4CF5" w:rsidP="00DD4CF5">
      <w:pPr>
        <w:widowControl w:val="0"/>
        <w:ind w:firstLine="283"/>
        <w:jc w:val="both"/>
        <w:rPr>
          <w:rFonts w:ascii="Arial" w:hAnsi="Arial" w:cs="Arial"/>
          <w:sz w:val="20"/>
          <w:szCs w:val="20"/>
        </w:rPr>
      </w:pPr>
    </w:p>
    <w:p w:rsidR="00DD4CF5" w:rsidRPr="0044058E" w:rsidRDefault="00DD4CF5" w:rsidP="00DD4CF5">
      <w:pPr>
        <w:widowControl w:val="0"/>
        <w:jc w:val="both"/>
        <w:rPr>
          <w:rFonts w:ascii="Arial" w:hAnsi="Arial" w:cs="Arial"/>
          <w:sz w:val="20"/>
        </w:rPr>
      </w:pPr>
      <w:r w:rsidRPr="0044058E">
        <w:rPr>
          <w:rFonts w:ascii="Arial" w:hAnsi="Arial" w:cs="Arial"/>
          <w:sz w:val="20"/>
          <w:szCs w:val="20"/>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w:t>
      </w:r>
    </w:p>
    <w:p w:rsidR="00DD4CF5" w:rsidRPr="0044058E" w:rsidRDefault="00DD4CF5" w:rsidP="00DD4CF5">
      <w:pPr>
        <w:jc w:val="both"/>
        <w:rPr>
          <w:rFonts w:ascii="Arial" w:hAnsi="Arial" w:cs="Arial"/>
          <w:sz w:val="20"/>
        </w:rPr>
      </w:pPr>
    </w:p>
    <w:p w:rsidR="00DD4CF5" w:rsidRPr="0044058E" w:rsidRDefault="00DD4CF5" w:rsidP="00DD4CF5">
      <w:pPr>
        <w:jc w:val="both"/>
        <w:rPr>
          <w:rFonts w:ascii="Arial" w:hAnsi="Arial" w:cs="Arial"/>
          <w:sz w:val="20"/>
        </w:rPr>
      </w:pPr>
      <w:r w:rsidRPr="0044058E">
        <w:rPr>
          <w:rFonts w:ascii="Arial" w:hAnsi="Arial" w:cs="Arial"/>
          <w:sz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rsidR="00DD4CF5" w:rsidRPr="0044058E" w:rsidRDefault="00DD4CF5" w:rsidP="00DD4CF5">
      <w:pPr>
        <w:jc w:val="both"/>
        <w:rPr>
          <w:rFonts w:ascii="Arial" w:hAnsi="Arial" w:cs="Arial"/>
          <w:sz w:val="20"/>
        </w:rPr>
      </w:pPr>
    </w:p>
    <w:p w:rsidR="00DD4CF5" w:rsidRDefault="00DD4CF5" w:rsidP="00DD4CF5">
      <w:pPr>
        <w:jc w:val="both"/>
        <w:rPr>
          <w:rFonts w:ascii="Arial" w:hAnsi="Arial" w:cs="Arial"/>
          <w:sz w:val="20"/>
          <w:szCs w:val="20"/>
        </w:rPr>
      </w:pPr>
      <w:r w:rsidRPr="0044058E">
        <w:rPr>
          <w:rFonts w:ascii="Arial" w:hAnsi="Arial" w:cs="Arial"/>
          <w:sz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modalidades de deducción contempladas en  la Ley 20/1991.</w:t>
      </w:r>
    </w:p>
    <w:p w:rsidR="00DD4CF5" w:rsidRDefault="00DD4CF5" w:rsidP="00D81B85">
      <w:pPr>
        <w:jc w:val="both"/>
        <w:rPr>
          <w:rFonts w:ascii="Arial" w:hAnsi="Arial" w:cs="Arial"/>
          <w:sz w:val="20"/>
          <w:szCs w:val="20"/>
        </w:rPr>
      </w:pPr>
    </w:p>
    <w:tbl>
      <w:tblPr>
        <w:tblW w:w="8626" w:type="dxa"/>
        <w:tblInd w:w="40" w:type="dxa"/>
        <w:tblLayout w:type="fixed"/>
        <w:tblCellMar>
          <w:left w:w="70" w:type="dxa"/>
          <w:right w:w="70" w:type="dxa"/>
        </w:tblCellMar>
        <w:tblLook w:val="0000"/>
      </w:tblPr>
      <w:tblGrid>
        <w:gridCol w:w="3995"/>
        <w:gridCol w:w="1158"/>
        <w:gridCol w:w="1158"/>
        <w:gridCol w:w="1158"/>
        <w:gridCol w:w="1157"/>
      </w:tblGrid>
      <w:tr w:rsidR="009A2478" w:rsidRPr="009A2478" w:rsidTr="009A2478">
        <w:tblPrEx>
          <w:tblCellMar>
            <w:top w:w="0" w:type="dxa"/>
            <w:bottom w:w="0" w:type="dxa"/>
          </w:tblCellMar>
        </w:tblPrEx>
        <w:trPr>
          <w:trHeight w:val="487"/>
        </w:trPr>
        <w:tc>
          <w:tcPr>
            <w:tcW w:w="3995" w:type="dxa"/>
            <w:tcBorders>
              <w:top w:val="single" w:sz="2" w:space="0" w:color="000000"/>
              <w:left w:val="single" w:sz="2" w:space="0" w:color="000000"/>
              <w:bottom w:val="single" w:sz="12" w:space="0" w:color="auto"/>
              <w:right w:val="single" w:sz="2" w:space="0" w:color="000000"/>
            </w:tcBorders>
          </w:tcPr>
          <w:p w:rsidR="009A2478" w:rsidRPr="009A2478" w:rsidRDefault="009A2478" w:rsidP="009A2478">
            <w:pPr>
              <w:autoSpaceDE w:val="0"/>
              <w:autoSpaceDN w:val="0"/>
              <w:adjustRightInd w:val="0"/>
              <w:jc w:val="right"/>
              <w:rPr>
                <w:rFonts w:ascii="Calibri" w:hAnsi="Calibri" w:cs="Calibri"/>
                <w:color w:val="000000"/>
                <w:sz w:val="22"/>
                <w:szCs w:val="22"/>
              </w:rPr>
            </w:pPr>
          </w:p>
        </w:tc>
        <w:tc>
          <w:tcPr>
            <w:tcW w:w="1158" w:type="dxa"/>
            <w:tcBorders>
              <w:top w:val="single" w:sz="2" w:space="0" w:color="000000"/>
              <w:left w:val="single" w:sz="2" w:space="0" w:color="000000"/>
              <w:bottom w:val="single" w:sz="12" w:space="0" w:color="auto"/>
              <w:right w:val="single" w:sz="2" w:space="0" w:color="000000"/>
            </w:tcBorders>
          </w:tcPr>
          <w:p w:rsidR="009A2478" w:rsidRPr="009A2478" w:rsidRDefault="009A2478" w:rsidP="009A2478">
            <w:pPr>
              <w:autoSpaceDE w:val="0"/>
              <w:autoSpaceDN w:val="0"/>
              <w:adjustRightInd w:val="0"/>
              <w:jc w:val="right"/>
              <w:rPr>
                <w:rFonts w:ascii="Calibri" w:hAnsi="Calibri" w:cs="Calibri"/>
                <w:color w:val="000000"/>
                <w:sz w:val="22"/>
                <w:szCs w:val="22"/>
              </w:rPr>
            </w:pPr>
          </w:p>
        </w:tc>
        <w:tc>
          <w:tcPr>
            <w:tcW w:w="2316" w:type="dxa"/>
            <w:gridSpan w:val="2"/>
            <w:tcBorders>
              <w:top w:val="single" w:sz="2" w:space="0" w:color="000000"/>
              <w:left w:val="single" w:sz="2" w:space="0" w:color="000000"/>
              <w:bottom w:val="single" w:sz="12" w:space="0" w:color="auto"/>
              <w:right w:val="single" w:sz="2" w:space="0" w:color="000000"/>
            </w:tcBorders>
          </w:tcPr>
          <w:p w:rsidR="009A2478" w:rsidRPr="009A2478" w:rsidRDefault="009A2478" w:rsidP="009A2478">
            <w:pPr>
              <w:autoSpaceDE w:val="0"/>
              <w:autoSpaceDN w:val="0"/>
              <w:adjustRightInd w:val="0"/>
              <w:jc w:val="center"/>
              <w:rPr>
                <w:rFonts w:ascii="Calibri" w:hAnsi="Calibri" w:cs="Calibri"/>
                <w:color w:val="000000"/>
                <w:sz w:val="22"/>
                <w:szCs w:val="22"/>
              </w:rPr>
            </w:pPr>
            <w:r w:rsidRPr="009A2478">
              <w:rPr>
                <w:rFonts w:ascii="Calibri" w:hAnsi="Calibri" w:cs="Calibri"/>
                <w:color w:val="000000"/>
                <w:sz w:val="22"/>
                <w:szCs w:val="22"/>
              </w:rPr>
              <w:t>Año de aplicación</w:t>
            </w:r>
          </w:p>
        </w:tc>
        <w:tc>
          <w:tcPr>
            <w:tcW w:w="1157" w:type="dxa"/>
            <w:tcBorders>
              <w:top w:val="single" w:sz="2" w:space="0" w:color="000000"/>
              <w:left w:val="single" w:sz="2" w:space="0" w:color="000000"/>
              <w:bottom w:val="single" w:sz="12" w:space="0" w:color="auto"/>
              <w:right w:val="single" w:sz="2" w:space="0" w:color="000000"/>
            </w:tcBorders>
          </w:tcPr>
          <w:p w:rsidR="009A2478" w:rsidRPr="009A2478" w:rsidRDefault="009A2478" w:rsidP="009A2478">
            <w:pPr>
              <w:autoSpaceDE w:val="0"/>
              <w:autoSpaceDN w:val="0"/>
              <w:adjustRightInd w:val="0"/>
              <w:jc w:val="right"/>
              <w:rPr>
                <w:rFonts w:ascii="Calibri" w:hAnsi="Calibri" w:cs="Calibri"/>
                <w:color w:val="000000"/>
                <w:sz w:val="22"/>
                <w:szCs w:val="22"/>
              </w:rPr>
            </w:pPr>
          </w:p>
        </w:tc>
      </w:tr>
      <w:tr w:rsidR="009A2478" w:rsidRPr="009A2478" w:rsidTr="009A2478">
        <w:tblPrEx>
          <w:tblCellMar>
            <w:top w:w="0" w:type="dxa"/>
            <w:bottom w:w="0" w:type="dxa"/>
          </w:tblCellMar>
        </w:tblPrEx>
        <w:trPr>
          <w:trHeight w:val="287"/>
        </w:trPr>
        <w:tc>
          <w:tcPr>
            <w:tcW w:w="3995" w:type="dxa"/>
            <w:tcBorders>
              <w:top w:val="single" w:sz="12" w:space="0" w:color="auto"/>
              <w:left w:val="single" w:sz="12" w:space="0" w:color="auto"/>
              <w:bottom w:val="single" w:sz="6" w:space="0" w:color="auto"/>
              <w:right w:val="single" w:sz="12" w:space="0" w:color="auto"/>
            </w:tcBorders>
            <w:shd w:val="solid" w:color="000080" w:fill="auto"/>
          </w:tcPr>
          <w:p w:rsidR="009A2478" w:rsidRPr="009A2478" w:rsidRDefault="009A2478" w:rsidP="009A2478">
            <w:pPr>
              <w:autoSpaceDE w:val="0"/>
              <w:autoSpaceDN w:val="0"/>
              <w:adjustRightInd w:val="0"/>
              <w:rPr>
                <w:rFonts w:ascii="Arial" w:hAnsi="Arial" w:cs="Arial"/>
                <w:b/>
                <w:bCs/>
                <w:color w:val="FFFFFF"/>
                <w:sz w:val="12"/>
                <w:szCs w:val="12"/>
              </w:rPr>
            </w:pPr>
            <w:r w:rsidRPr="009A2478">
              <w:rPr>
                <w:rFonts w:ascii="Arial" w:hAnsi="Arial" w:cs="Arial"/>
                <w:b/>
                <w:bCs/>
                <w:color w:val="FFFFFF"/>
                <w:sz w:val="12"/>
                <w:szCs w:val="12"/>
              </w:rPr>
              <w:t>CONCEPTO-año generación deducción AFN</w:t>
            </w:r>
          </w:p>
        </w:tc>
        <w:tc>
          <w:tcPr>
            <w:tcW w:w="1158" w:type="dxa"/>
            <w:tcBorders>
              <w:top w:val="single" w:sz="12" w:space="0" w:color="auto"/>
              <w:left w:val="single" w:sz="12" w:space="0" w:color="auto"/>
              <w:bottom w:val="single" w:sz="6" w:space="0" w:color="auto"/>
              <w:right w:val="single" w:sz="12" w:space="0" w:color="auto"/>
            </w:tcBorders>
            <w:shd w:val="solid" w:color="000080" w:fill="auto"/>
          </w:tcPr>
          <w:p w:rsidR="009A2478" w:rsidRPr="009A2478" w:rsidRDefault="009A2478" w:rsidP="009A2478">
            <w:pPr>
              <w:autoSpaceDE w:val="0"/>
              <w:autoSpaceDN w:val="0"/>
              <w:adjustRightInd w:val="0"/>
              <w:jc w:val="right"/>
              <w:rPr>
                <w:rFonts w:ascii="Arial" w:hAnsi="Arial" w:cs="Arial"/>
                <w:b/>
                <w:bCs/>
                <w:color w:val="FFFFFF"/>
                <w:sz w:val="12"/>
                <w:szCs w:val="12"/>
              </w:rPr>
            </w:pPr>
            <w:r w:rsidRPr="009A2478">
              <w:rPr>
                <w:rFonts w:ascii="Arial" w:hAnsi="Arial" w:cs="Arial"/>
                <w:b/>
                <w:bCs/>
                <w:color w:val="FFFFFF"/>
                <w:sz w:val="12"/>
                <w:szCs w:val="12"/>
              </w:rPr>
              <w:t>Importe</w:t>
            </w:r>
          </w:p>
        </w:tc>
        <w:tc>
          <w:tcPr>
            <w:tcW w:w="1158" w:type="dxa"/>
            <w:tcBorders>
              <w:top w:val="single" w:sz="12" w:space="0" w:color="auto"/>
              <w:left w:val="single" w:sz="12" w:space="0" w:color="auto"/>
              <w:bottom w:val="single" w:sz="6" w:space="0" w:color="auto"/>
              <w:right w:val="single" w:sz="12" w:space="0" w:color="auto"/>
            </w:tcBorders>
            <w:shd w:val="solid" w:color="000080" w:fill="auto"/>
          </w:tcPr>
          <w:p w:rsidR="009A2478" w:rsidRPr="009A2478" w:rsidRDefault="009A2478" w:rsidP="009A2478">
            <w:pPr>
              <w:autoSpaceDE w:val="0"/>
              <w:autoSpaceDN w:val="0"/>
              <w:adjustRightInd w:val="0"/>
              <w:jc w:val="right"/>
              <w:rPr>
                <w:rFonts w:ascii="Arial" w:hAnsi="Arial" w:cs="Arial"/>
                <w:b/>
                <w:bCs/>
                <w:color w:val="FFFFFF"/>
                <w:sz w:val="12"/>
                <w:szCs w:val="12"/>
              </w:rPr>
            </w:pPr>
            <w:r w:rsidRPr="009A2478">
              <w:rPr>
                <w:rFonts w:ascii="Arial" w:hAnsi="Arial" w:cs="Arial"/>
                <w:b/>
                <w:bCs/>
                <w:color w:val="FFFFFF"/>
                <w:sz w:val="12"/>
                <w:szCs w:val="12"/>
              </w:rPr>
              <w:t>2015</w:t>
            </w:r>
          </w:p>
        </w:tc>
        <w:tc>
          <w:tcPr>
            <w:tcW w:w="1158" w:type="dxa"/>
            <w:tcBorders>
              <w:top w:val="single" w:sz="12" w:space="0" w:color="auto"/>
              <w:left w:val="single" w:sz="12" w:space="0" w:color="auto"/>
              <w:bottom w:val="single" w:sz="6" w:space="0" w:color="auto"/>
              <w:right w:val="single" w:sz="12" w:space="0" w:color="auto"/>
            </w:tcBorders>
            <w:shd w:val="solid" w:color="000080" w:fill="auto"/>
          </w:tcPr>
          <w:p w:rsidR="009A2478" w:rsidRPr="009A2478" w:rsidRDefault="009A2478" w:rsidP="009A2478">
            <w:pPr>
              <w:autoSpaceDE w:val="0"/>
              <w:autoSpaceDN w:val="0"/>
              <w:adjustRightInd w:val="0"/>
              <w:jc w:val="right"/>
              <w:rPr>
                <w:rFonts w:ascii="Arial" w:hAnsi="Arial" w:cs="Arial"/>
                <w:b/>
                <w:bCs/>
                <w:color w:val="FFFFFF"/>
                <w:sz w:val="12"/>
                <w:szCs w:val="12"/>
              </w:rPr>
            </w:pPr>
            <w:r w:rsidRPr="009A2478">
              <w:rPr>
                <w:rFonts w:ascii="Arial" w:hAnsi="Arial" w:cs="Arial"/>
                <w:b/>
                <w:bCs/>
                <w:color w:val="FFFFFF"/>
                <w:sz w:val="12"/>
                <w:szCs w:val="12"/>
              </w:rPr>
              <w:t>2016</w:t>
            </w:r>
          </w:p>
        </w:tc>
        <w:tc>
          <w:tcPr>
            <w:tcW w:w="1157" w:type="dxa"/>
            <w:tcBorders>
              <w:top w:val="single" w:sz="12" w:space="0" w:color="auto"/>
              <w:left w:val="single" w:sz="12" w:space="0" w:color="auto"/>
              <w:bottom w:val="single" w:sz="6" w:space="0" w:color="auto"/>
              <w:right w:val="single" w:sz="12" w:space="0" w:color="auto"/>
            </w:tcBorders>
            <w:shd w:val="solid" w:color="000080" w:fill="auto"/>
          </w:tcPr>
          <w:p w:rsidR="009A2478" w:rsidRPr="009A2478" w:rsidRDefault="009A2478" w:rsidP="009A2478">
            <w:pPr>
              <w:autoSpaceDE w:val="0"/>
              <w:autoSpaceDN w:val="0"/>
              <w:adjustRightInd w:val="0"/>
              <w:jc w:val="right"/>
              <w:rPr>
                <w:rFonts w:ascii="Arial" w:hAnsi="Arial" w:cs="Arial"/>
                <w:b/>
                <w:bCs/>
                <w:color w:val="FFFFFF"/>
                <w:sz w:val="12"/>
                <w:szCs w:val="12"/>
              </w:rPr>
            </w:pPr>
            <w:r w:rsidRPr="009A2478">
              <w:rPr>
                <w:rFonts w:ascii="Arial" w:hAnsi="Arial" w:cs="Arial"/>
                <w:b/>
                <w:bCs/>
                <w:color w:val="FFFFFF"/>
                <w:sz w:val="12"/>
                <w:szCs w:val="12"/>
              </w:rPr>
              <w:t>Pendiente</w:t>
            </w:r>
          </w:p>
        </w:tc>
      </w:tr>
      <w:tr w:rsidR="009A2478" w:rsidRPr="009A2478" w:rsidTr="009A2478">
        <w:tblPrEx>
          <w:tblCellMar>
            <w:top w:w="0" w:type="dxa"/>
            <w:bottom w:w="0" w:type="dxa"/>
          </w:tblCellMar>
        </w:tblPrEx>
        <w:trPr>
          <w:trHeight w:val="287"/>
        </w:trPr>
        <w:tc>
          <w:tcPr>
            <w:tcW w:w="3995" w:type="dxa"/>
            <w:tcBorders>
              <w:top w:val="single" w:sz="6" w:space="0" w:color="auto"/>
              <w:left w:val="single" w:sz="6" w:space="0" w:color="auto"/>
              <w:bottom w:val="single" w:sz="6" w:space="0" w:color="auto"/>
              <w:right w:val="single" w:sz="6" w:space="0" w:color="auto"/>
            </w:tcBorders>
          </w:tcPr>
          <w:p w:rsidR="009A2478" w:rsidRPr="009A2478" w:rsidRDefault="009A2478" w:rsidP="009A2478">
            <w:pPr>
              <w:autoSpaceDE w:val="0"/>
              <w:autoSpaceDN w:val="0"/>
              <w:adjustRightInd w:val="0"/>
              <w:jc w:val="center"/>
              <w:rPr>
                <w:rFonts w:ascii="Calibri" w:hAnsi="Calibri" w:cs="Calibri"/>
                <w:color w:val="000000"/>
                <w:sz w:val="16"/>
                <w:szCs w:val="16"/>
              </w:rPr>
            </w:pPr>
            <w:r w:rsidRPr="009A2478">
              <w:rPr>
                <w:rFonts w:ascii="Calibri" w:hAnsi="Calibri" w:cs="Calibri"/>
                <w:color w:val="000000"/>
                <w:sz w:val="16"/>
                <w:szCs w:val="16"/>
              </w:rPr>
              <w:t>Deducción generada en 2014</w:t>
            </w:r>
          </w:p>
        </w:tc>
        <w:tc>
          <w:tcPr>
            <w:tcW w:w="1158" w:type="dxa"/>
            <w:tcBorders>
              <w:top w:val="single" w:sz="6" w:space="0" w:color="auto"/>
              <w:left w:val="single" w:sz="6" w:space="0" w:color="auto"/>
              <w:bottom w:val="single" w:sz="6" w:space="0" w:color="auto"/>
              <w:right w:val="single" w:sz="6" w:space="0" w:color="auto"/>
            </w:tcBorders>
          </w:tcPr>
          <w:p w:rsidR="009A2478" w:rsidRPr="009A2478" w:rsidRDefault="009A2478" w:rsidP="009A2478">
            <w:pPr>
              <w:autoSpaceDE w:val="0"/>
              <w:autoSpaceDN w:val="0"/>
              <w:adjustRightInd w:val="0"/>
              <w:jc w:val="center"/>
              <w:rPr>
                <w:rFonts w:ascii="Calibri" w:hAnsi="Calibri" w:cs="Calibri"/>
                <w:color w:val="000000"/>
                <w:sz w:val="16"/>
                <w:szCs w:val="16"/>
              </w:rPr>
            </w:pPr>
            <w:r w:rsidRPr="009A2478">
              <w:rPr>
                <w:rFonts w:ascii="Calibri" w:hAnsi="Calibri" w:cs="Calibri"/>
                <w:color w:val="000000"/>
                <w:sz w:val="16"/>
                <w:szCs w:val="16"/>
              </w:rPr>
              <w:t>385.690,23</w:t>
            </w:r>
          </w:p>
        </w:tc>
        <w:tc>
          <w:tcPr>
            <w:tcW w:w="1158" w:type="dxa"/>
            <w:tcBorders>
              <w:top w:val="single" w:sz="6" w:space="0" w:color="auto"/>
              <w:left w:val="single" w:sz="6" w:space="0" w:color="auto"/>
              <w:bottom w:val="single" w:sz="6" w:space="0" w:color="auto"/>
              <w:right w:val="single" w:sz="6" w:space="0" w:color="auto"/>
            </w:tcBorders>
          </w:tcPr>
          <w:p w:rsidR="009A2478" w:rsidRPr="009A2478" w:rsidRDefault="009A2478" w:rsidP="009A2478">
            <w:pPr>
              <w:autoSpaceDE w:val="0"/>
              <w:autoSpaceDN w:val="0"/>
              <w:adjustRightInd w:val="0"/>
              <w:jc w:val="center"/>
              <w:rPr>
                <w:rFonts w:ascii="Calibri" w:hAnsi="Calibri" w:cs="Calibri"/>
                <w:color w:val="000000"/>
                <w:sz w:val="16"/>
                <w:szCs w:val="16"/>
              </w:rPr>
            </w:pPr>
            <w:r w:rsidRPr="009A2478">
              <w:rPr>
                <w:rFonts w:ascii="Calibri" w:hAnsi="Calibri" w:cs="Calibri"/>
                <w:color w:val="000000"/>
                <w:sz w:val="16"/>
                <w:szCs w:val="16"/>
              </w:rPr>
              <w:t>3.381,04</w:t>
            </w:r>
          </w:p>
        </w:tc>
        <w:tc>
          <w:tcPr>
            <w:tcW w:w="1158" w:type="dxa"/>
            <w:tcBorders>
              <w:top w:val="single" w:sz="6" w:space="0" w:color="auto"/>
              <w:left w:val="single" w:sz="6" w:space="0" w:color="auto"/>
              <w:bottom w:val="single" w:sz="6" w:space="0" w:color="auto"/>
              <w:right w:val="single" w:sz="6" w:space="0" w:color="auto"/>
            </w:tcBorders>
          </w:tcPr>
          <w:p w:rsidR="009A2478" w:rsidRPr="009A2478" w:rsidRDefault="009A2478" w:rsidP="009A2478">
            <w:pPr>
              <w:autoSpaceDE w:val="0"/>
              <w:autoSpaceDN w:val="0"/>
              <w:adjustRightInd w:val="0"/>
              <w:jc w:val="center"/>
              <w:rPr>
                <w:rFonts w:ascii="Calibri" w:hAnsi="Calibri" w:cs="Calibri"/>
                <w:color w:val="000000"/>
                <w:sz w:val="16"/>
                <w:szCs w:val="16"/>
              </w:rPr>
            </w:pPr>
            <w:r w:rsidRPr="009A2478">
              <w:rPr>
                <w:rFonts w:ascii="Calibri" w:hAnsi="Calibri" w:cs="Calibri"/>
                <w:color w:val="000000"/>
                <w:sz w:val="16"/>
                <w:szCs w:val="16"/>
              </w:rPr>
              <w:t>3.072,30</w:t>
            </w:r>
          </w:p>
        </w:tc>
        <w:tc>
          <w:tcPr>
            <w:tcW w:w="1157" w:type="dxa"/>
            <w:tcBorders>
              <w:top w:val="single" w:sz="6" w:space="0" w:color="auto"/>
              <w:left w:val="single" w:sz="6" w:space="0" w:color="auto"/>
              <w:bottom w:val="single" w:sz="6" w:space="0" w:color="auto"/>
              <w:right w:val="single" w:sz="6" w:space="0" w:color="auto"/>
            </w:tcBorders>
          </w:tcPr>
          <w:p w:rsidR="009A2478" w:rsidRPr="009A2478" w:rsidRDefault="009A2478" w:rsidP="009A2478">
            <w:pPr>
              <w:autoSpaceDE w:val="0"/>
              <w:autoSpaceDN w:val="0"/>
              <w:adjustRightInd w:val="0"/>
              <w:jc w:val="center"/>
              <w:rPr>
                <w:rFonts w:ascii="Calibri" w:hAnsi="Calibri" w:cs="Calibri"/>
                <w:color w:val="000000"/>
                <w:sz w:val="16"/>
                <w:szCs w:val="16"/>
              </w:rPr>
            </w:pPr>
            <w:r w:rsidRPr="009A2478">
              <w:rPr>
                <w:rFonts w:ascii="Calibri" w:hAnsi="Calibri" w:cs="Calibri"/>
                <w:color w:val="000000"/>
                <w:sz w:val="16"/>
                <w:szCs w:val="16"/>
              </w:rPr>
              <w:t>379.236,89</w:t>
            </w:r>
          </w:p>
        </w:tc>
      </w:tr>
      <w:tr w:rsidR="009A2478" w:rsidRPr="009A2478" w:rsidTr="009A2478">
        <w:tblPrEx>
          <w:tblCellMar>
            <w:top w:w="0" w:type="dxa"/>
            <w:bottom w:w="0" w:type="dxa"/>
          </w:tblCellMar>
        </w:tblPrEx>
        <w:trPr>
          <w:trHeight w:val="287"/>
        </w:trPr>
        <w:tc>
          <w:tcPr>
            <w:tcW w:w="3995" w:type="dxa"/>
            <w:tcBorders>
              <w:top w:val="single" w:sz="6" w:space="0" w:color="auto"/>
              <w:left w:val="single" w:sz="6" w:space="0" w:color="auto"/>
              <w:bottom w:val="single" w:sz="6" w:space="0" w:color="auto"/>
              <w:right w:val="single" w:sz="6" w:space="0" w:color="auto"/>
            </w:tcBorders>
          </w:tcPr>
          <w:p w:rsidR="009A2478" w:rsidRPr="009A2478" w:rsidRDefault="009A2478" w:rsidP="009A2478">
            <w:pPr>
              <w:autoSpaceDE w:val="0"/>
              <w:autoSpaceDN w:val="0"/>
              <w:adjustRightInd w:val="0"/>
              <w:jc w:val="center"/>
              <w:rPr>
                <w:rFonts w:ascii="Calibri" w:hAnsi="Calibri" w:cs="Calibri"/>
                <w:color w:val="000000"/>
                <w:sz w:val="16"/>
                <w:szCs w:val="16"/>
              </w:rPr>
            </w:pPr>
            <w:r w:rsidRPr="009A2478">
              <w:rPr>
                <w:rFonts w:ascii="Calibri" w:hAnsi="Calibri" w:cs="Calibri"/>
                <w:color w:val="000000"/>
                <w:sz w:val="16"/>
                <w:szCs w:val="16"/>
              </w:rPr>
              <w:t>Deducción generada en 2015</w:t>
            </w:r>
          </w:p>
        </w:tc>
        <w:tc>
          <w:tcPr>
            <w:tcW w:w="1158" w:type="dxa"/>
            <w:tcBorders>
              <w:top w:val="single" w:sz="6" w:space="0" w:color="auto"/>
              <w:left w:val="single" w:sz="6" w:space="0" w:color="auto"/>
              <w:bottom w:val="single" w:sz="6" w:space="0" w:color="auto"/>
              <w:right w:val="single" w:sz="6" w:space="0" w:color="auto"/>
            </w:tcBorders>
          </w:tcPr>
          <w:p w:rsidR="009A2478" w:rsidRPr="009A2478" w:rsidRDefault="009A2478" w:rsidP="009A2478">
            <w:pPr>
              <w:autoSpaceDE w:val="0"/>
              <w:autoSpaceDN w:val="0"/>
              <w:adjustRightInd w:val="0"/>
              <w:jc w:val="center"/>
              <w:rPr>
                <w:rFonts w:ascii="Calibri" w:hAnsi="Calibri" w:cs="Calibri"/>
                <w:color w:val="000000"/>
                <w:sz w:val="16"/>
                <w:szCs w:val="16"/>
              </w:rPr>
            </w:pPr>
            <w:r w:rsidRPr="009A2478">
              <w:rPr>
                <w:rFonts w:ascii="Calibri" w:hAnsi="Calibri" w:cs="Calibri"/>
                <w:color w:val="000000"/>
                <w:sz w:val="16"/>
                <w:szCs w:val="16"/>
              </w:rPr>
              <w:t>201.559,55</w:t>
            </w:r>
          </w:p>
        </w:tc>
        <w:tc>
          <w:tcPr>
            <w:tcW w:w="1158" w:type="dxa"/>
            <w:tcBorders>
              <w:top w:val="single" w:sz="6" w:space="0" w:color="auto"/>
              <w:left w:val="single" w:sz="6" w:space="0" w:color="auto"/>
              <w:bottom w:val="single" w:sz="6" w:space="0" w:color="auto"/>
              <w:right w:val="single" w:sz="6" w:space="0" w:color="auto"/>
            </w:tcBorders>
          </w:tcPr>
          <w:p w:rsidR="009A2478" w:rsidRPr="009A2478" w:rsidRDefault="009A2478" w:rsidP="009A2478">
            <w:pPr>
              <w:autoSpaceDE w:val="0"/>
              <w:autoSpaceDN w:val="0"/>
              <w:adjustRightInd w:val="0"/>
              <w:jc w:val="center"/>
              <w:rPr>
                <w:rFonts w:ascii="Calibri" w:hAnsi="Calibri" w:cs="Calibri"/>
                <w:color w:val="000000"/>
                <w:sz w:val="16"/>
                <w:szCs w:val="16"/>
              </w:rPr>
            </w:pPr>
            <w:r w:rsidRPr="009A2478">
              <w:rPr>
                <w:rFonts w:ascii="Calibri" w:hAnsi="Calibri" w:cs="Calibri"/>
                <w:color w:val="000000"/>
                <w:sz w:val="16"/>
                <w:szCs w:val="16"/>
              </w:rPr>
              <w:t>3.381,04</w:t>
            </w:r>
          </w:p>
        </w:tc>
        <w:tc>
          <w:tcPr>
            <w:tcW w:w="1158" w:type="dxa"/>
            <w:tcBorders>
              <w:top w:val="single" w:sz="6" w:space="0" w:color="auto"/>
              <w:left w:val="single" w:sz="6" w:space="0" w:color="auto"/>
              <w:bottom w:val="single" w:sz="6" w:space="0" w:color="auto"/>
              <w:right w:val="single" w:sz="6" w:space="0" w:color="auto"/>
            </w:tcBorders>
          </w:tcPr>
          <w:p w:rsidR="009A2478" w:rsidRPr="009A2478" w:rsidRDefault="009A2478" w:rsidP="009A2478">
            <w:pPr>
              <w:autoSpaceDE w:val="0"/>
              <w:autoSpaceDN w:val="0"/>
              <w:adjustRightInd w:val="0"/>
              <w:jc w:val="center"/>
              <w:rPr>
                <w:rFonts w:ascii="Calibri" w:hAnsi="Calibri" w:cs="Calibri"/>
                <w:color w:val="000000"/>
                <w:sz w:val="16"/>
                <w:szCs w:val="16"/>
              </w:rPr>
            </w:pPr>
          </w:p>
        </w:tc>
        <w:tc>
          <w:tcPr>
            <w:tcW w:w="1157" w:type="dxa"/>
            <w:tcBorders>
              <w:top w:val="single" w:sz="6" w:space="0" w:color="auto"/>
              <w:left w:val="single" w:sz="6" w:space="0" w:color="auto"/>
              <w:bottom w:val="single" w:sz="6" w:space="0" w:color="auto"/>
              <w:right w:val="single" w:sz="6" w:space="0" w:color="auto"/>
            </w:tcBorders>
          </w:tcPr>
          <w:p w:rsidR="009A2478" w:rsidRPr="009A2478" w:rsidRDefault="009A2478" w:rsidP="009A2478">
            <w:pPr>
              <w:autoSpaceDE w:val="0"/>
              <w:autoSpaceDN w:val="0"/>
              <w:adjustRightInd w:val="0"/>
              <w:jc w:val="center"/>
              <w:rPr>
                <w:rFonts w:ascii="Calibri" w:hAnsi="Calibri" w:cs="Calibri"/>
                <w:color w:val="000000"/>
                <w:sz w:val="16"/>
                <w:szCs w:val="16"/>
              </w:rPr>
            </w:pPr>
            <w:r w:rsidRPr="009A2478">
              <w:rPr>
                <w:rFonts w:ascii="Calibri" w:hAnsi="Calibri" w:cs="Calibri"/>
                <w:color w:val="000000"/>
                <w:sz w:val="16"/>
                <w:szCs w:val="16"/>
              </w:rPr>
              <w:t>198.178,51</w:t>
            </w:r>
          </w:p>
        </w:tc>
      </w:tr>
    </w:tbl>
    <w:p w:rsidR="00DD4CF5" w:rsidRPr="00DD4CF5" w:rsidRDefault="00DD4CF5" w:rsidP="00DD4CF5">
      <w:pPr>
        <w:tabs>
          <w:tab w:val="left" w:pos="-720"/>
        </w:tabs>
        <w:jc w:val="both"/>
        <w:rPr>
          <w:rFonts w:ascii="Arial" w:hAnsi="Arial" w:cs="Arial"/>
          <w:spacing w:val="-3"/>
          <w:sz w:val="20"/>
          <w:highlight w:val="yellow"/>
        </w:rPr>
      </w:pPr>
    </w:p>
    <w:p w:rsidR="00DD4CF5" w:rsidRPr="00DD4CF5" w:rsidRDefault="00DD4CF5" w:rsidP="00DD4CF5">
      <w:pPr>
        <w:tabs>
          <w:tab w:val="left" w:pos="-720"/>
        </w:tabs>
        <w:jc w:val="both"/>
        <w:rPr>
          <w:rFonts w:ascii="Arial" w:hAnsi="Arial" w:cs="Arial"/>
          <w:spacing w:val="-3"/>
          <w:sz w:val="20"/>
          <w:highlight w:val="yellow"/>
        </w:rPr>
      </w:pPr>
    </w:p>
    <w:p w:rsidR="00DD4CF5" w:rsidRPr="00DD4CF5" w:rsidRDefault="00DD4CF5" w:rsidP="00DD4CF5">
      <w:pPr>
        <w:tabs>
          <w:tab w:val="left" w:pos="-720"/>
        </w:tabs>
        <w:jc w:val="both"/>
        <w:rPr>
          <w:rFonts w:ascii="Arial" w:hAnsi="Arial" w:cs="Arial"/>
          <w:spacing w:val="-3"/>
          <w:sz w:val="20"/>
          <w:highlight w:val="yellow"/>
        </w:rPr>
      </w:pPr>
    </w:p>
    <w:p w:rsidR="00DD4CF5" w:rsidRDefault="00DD4CF5" w:rsidP="00DD4CF5">
      <w:pPr>
        <w:tabs>
          <w:tab w:val="left" w:pos="-720"/>
        </w:tabs>
        <w:jc w:val="both"/>
        <w:rPr>
          <w:rFonts w:ascii="Arial" w:hAnsi="Arial" w:cs="Arial"/>
          <w:spacing w:val="-3"/>
          <w:sz w:val="20"/>
        </w:rPr>
      </w:pPr>
      <w:r w:rsidRPr="0044058E">
        <w:rPr>
          <w:rFonts w:ascii="Arial" w:hAnsi="Arial" w:cs="Arial"/>
          <w:spacing w:val="-3"/>
          <w:sz w:val="20"/>
        </w:rPr>
        <w:t xml:space="preserve">Permanecen abiertos a Inspección los ejercicios </w:t>
      </w:r>
      <w:r w:rsidR="0044058E">
        <w:rPr>
          <w:rFonts w:ascii="Arial" w:hAnsi="Arial" w:cs="Arial"/>
          <w:spacing w:val="-3"/>
          <w:sz w:val="20"/>
        </w:rPr>
        <w:t xml:space="preserve"> 2012 a efectos del Impuesto sobre Sociedades,</w:t>
      </w:r>
      <w:r w:rsidR="00261722">
        <w:rPr>
          <w:rFonts w:ascii="Arial" w:hAnsi="Arial" w:cs="Arial"/>
          <w:spacing w:val="-3"/>
          <w:sz w:val="20"/>
        </w:rPr>
        <w:t xml:space="preserve"> </w:t>
      </w:r>
      <w:r w:rsidRPr="0044058E">
        <w:rPr>
          <w:rFonts w:ascii="Arial" w:hAnsi="Arial" w:cs="Arial"/>
          <w:spacing w:val="-3"/>
          <w:sz w:val="20"/>
        </w:rPr>
        <w:t>2013, 2014, 2015 y 2016 para aquellos impuestos de los que la sociedad es sujeto pasivo.</w:t>
      </w:r>
    </w:p>
    <w:p w:rsidR="0086054C" w:rsidRDefault="0086054C" w:rsidP="00DD4CF5">
      <w:pPr>
        <w:tabs>
          <w:tab w:val="left" w:pos="-720"/>
        </w:tabs>
        <w:jc w:val="both"/>
        <w:rPr>
          <w:rFonts w:ascii="Arial" w:hAnsi="Arial" w:cs="Arial"/>
          <w:spacing w:val="-3"/>
          <w:sz w:val="20"/>
        </w:rPr>
      </w:pPr>
    </w:p>
    <w:p w:rsidR="0086054C" w:rsidRDefault="0086054C" w:rsidP="00DD4CF5">
      <w:pPr>
        <w:tabs>
          <w:tab w:val="left" w:pos="-720"/>
        </w:tabs>
        <w:jc w:val="both"/>
        <w:rPr>
          <w:rFonts w:ascii="Arial" w:hAnsi="Arial" w:cs="Arial"/>
          <w:spacing w:val="-3"/>
          <w:sz w:val="20"/>
        </w:rPr>
      </w:pPr>
    </w:p>
    <w:p w:rsidR="0086054C" w:rsidRDefault="0086054C" w:rsidP="0086054C">
      <w:pPr>
        <w:jc w:val="both"/>
        <w:rPr>
          <w:rFonts w:ascii="Arial" w:hAnsi="Arial" w:cs="Arial"/>
          <w:b/>
          <w:sz w:val="20"/>
          <w:szCs w:val="20"/>
        </w:rPr>
      </w:pPr>
      <w:r w:rsidRPr="00D81B85">
        <w:rPr>
          <w:rFonts w:ascii="Arial" w:hAnsi="Arial" w:cs="Arial"/>
          <w:b/>
          <w:sz w:val="20"/>
          <w:szCs w:val="20"/>
        </w:rPr>
        <w:t xml:space="preserve">9.-  </w:t>
      </w:r>
      <w:r>
        <w:rPr>
          <w:rFonts w:ascii="Arial" w:hAnsi="Arial" w:cs="Arial"/>
          <w:b/>
          <w:sz w:val="20"/>
          <w:szCs w:val="20"/>
        </w:rPr>
        <w:t>OPERACIONES CON PARTES VINCULADAS</w:t>
      </w:r>
    </w:p>
    <w:p w:rsidR="0086054C" w:rsidRPr="00D81B85" w:rsidRDefault="0086054C" w:rsidP="0086054C">
      <w:pPr>
        <w:jc w:val="both"/>
        <w:rPr>
          <w:rFonts w:ascii="Arial" w:hAnsi="Arial" w:cs="Arial"/>
          <w:b/>
          <w:sz w:val="20"/>
          <w:szCs w:val="20"/>
        </w:rPr>
      </w:pPr>
    </w:p>
    <w:p w:rsidR="0086054C" w:rsidRDefault="0086054C" w:rsidP="0086054C">
      <w:pPr>
        <w:jc w:val="both"/>
        <w:rPr>
          <w:rFonts w:ascii="Arial" w:hAnsi="Arial" w:cs="Arial"/>
          <w:bCs/>
          <w:sz w:val="20"/>
        </w:rPr>
      </w:pPr>
      <w:r w:rsidRPr="00BB5E12">
        <w:rPr>
          <w:rFonts w:ascii="Arial" w:hAnsi="Arial" w:cs="Arial"/>
          <w:bCs/>
          <w:sz w:val="20"/>
        </w:rPr>
        <w:t>La información sobre operaciones con partes vinculadas de la Sociedad se recoge en los siguientes cuadros:</w:t>
      </w:r>
    </w:p>
    <w:p w:rsidR="0086054C" w:rsidRDefault="0086054C" w:rsidP="0086054C">
      <w:pPr>
        <w:jc w:val="both"/>
        <w:rPr>
          <w:rFonts w:ascii="Arial" w:hAnsi="Arial" w:cs="Arial"/>
          <w:bCs/>
          <w:sz w:val="20"/>
        </w:rPr>
      </w:pP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p>
    <w:p w:rsidR="0086054C" w:rsidRPr="00DD4CF5" w:rsidRDefault="0086054C" w:rsidP="00DD4CF5">
      <w:pPr>
        <w:tabs>
          <w:tab w:val="left" w:pos="-720"/>
        </w:tabs>
        <w:jc w:val="both"/>
        <w:rPr>
          <w:rFonts w:ascii="Arial" w:hAnsi="Arial" w:cs="Arial"/>
          <w:sz w:val="20"/>
        </w:rPr>
      </w:pPr>
    </w:p>
    <w:tbl>
      <w:tblPr>
        <w:tblpPr w:leftFromText="141" w:rightFromText="141" w:vertAnchor="text" w:horzAnchor="margin" w:tblpXSpec="center" w:tblpY="-53"/>
        <w:tblW w:w="9468" w:type="dxa"/>
        <w:tblLayout w:type="fixed"/>
        <w:tblCellMar>
          <w:left w:w="70" w:type="dxa"/>
          <w:right w:w="70" w:type="dxa"/>
        </w:tblCellMar>
        <w:tblLook w:val="0000"/>
      </w:tblPr>
      <w:tblGrid>
        <w:gridCol w:w="4918"/>
        <w:gridCol w:w="1184"/>
        <w:gridCol w:w="1118"/>
        <w:gridCol w:w="1130"/>
        <w:gridCol w:w="1118"/>
      </w:tblGrid>
      <w:tr w:rsidR="0086054C" w:rsidRPr="0086054C" w:rsidTr="0086054C">
        <w:tblPrEx>
          <w:tblCellMar>
            <w:top w:w="0" w:type="dxa"/>
            <w:bottom w:w="0" w:type="dxa"/>
          </w:tblCellMar>
        </w:tblPrEx>
        <w:trPr>
          <w:trHeight w:val="3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b/>
                <w:bCs/>
                <w:color w:val="000000"/>
                <w:sz w:val="15"/>
                <w:szCs w:val="15"/>
              </w:rPr>
            </w:pPr>
            <w:r w:rsidRPr="0086054C">
              <w:rPr>
                <w:rFonts w:ascii="Calibri" w:hAnsi="Calibri" w:cs="Calibri"/>
                <w:b/>
                <w:bCs/>
                <w:color w:val="000000"/>
                <w:sz w:val="15"/>
                <w:szCs w:val="15"/>
              </w:rPr>
              <w:lastRenderedPageBreak/>
              <w:t>Operaciones con partes vinculadas en el ejercicio 2016</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center"/>
              <w:rPr>
                <w:rFonts w:ascii="Calibri" w:hAnsi="Calibri" w:cs="Calibri"/>
                <w:color w:val="000000"/>
                <w:sz w:val="15"/>
                <w:szCs w:val="15"/>
              </w:rPr>
            </w:pPr>
            <w:r w:rsidRPr="0086054C">
              <w:rPr>
                <w:rFonts w:ascii="Calibri" w:hAnsi="Calibri" w:cs="Calibri"/>
                <w:color w:val="000000"/>
                <w:sz w:val="15"/>
                <w:szCs w:val="15"/>
              </w:rPr>
              <w:t>Entidad dominante 2016</w:t>
            </w: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center"/>
              <w:rPr>
                <w:rFonts w:ascii="Calibri" w:hAnsi="Calibri" w:cs="Calibri"/>
                <w:color w:val="000000"/>
                <w:sz w:val="15"/>
                <w:szCs w:val="15"/>
              </w:rPr>
            </w:pPr>
            <w:r w:rsidRPr="0086054C">
              <w:rPr>
                <w:rFonts w:ascii="Calibri" w:hAnsi="Calibri" w:cs="Calibri"/>
                <w:color w:val="000000"/>
                <w:sz w:val="15"/>
                <w:szCs w:val="15"/>
              </w:rPr>
              <w:t>Entidad dominante 2015</w:t>
            </w: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center"/>
              <w:rPr>
                <w:rFonts w:ascii="Calibri" w:hAnsi="Calibri" w:cs="Calibri"/>
                <w:color w:val="000000"/>
                <w:sz w:val="15"/>
                <w:szCs w:val="15"/>
              </w:rPr>
            </w:pPr>
            <w:r w:rsidRPr="0086054C">
              <w:rPr>
                <w:rFonts w:ascii="Calibri" w:hAnsi="Calibri" w:cs="Calibri"/>
                <w:color w:val="000000"/>
                <w:sz w:val="15"/>
                <w:szCs w:val="15"/>
              </w:rPr>
              <w:t>Empresas asociadas 2016</w:t>
            </w: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center"/>
              <w:rPr>
                <w:rFonts w:ascii="Calibri" w:hAnsi="Calibri" w:cs="Calibri"/>
                <w:color w:val="000000"/>
                <w:sz w:val="15"/>
                <w:szCs w:val="15"/>
              </w:rPr>
            </w:pPr>
            <w:r w:rsidRPr="0086054C">
              <w:rPr>
                <w:rFonts w:ascii="Calibri" w:hAnsi="Calibri" w:cs="Calibri"/>
                <w:color w:val="000000"/>
                <w:sz w:val="15"/>
                <w:szCs w:val="15"/>
              </w:rPr>
              <w:t>Empresas asociadas 2015</w:t>
            </w: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Ventas de activos corrientes, de las cuales: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Beneficios (+) / Pérdidas (-)</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Ventas de activos no corrientes, de las cuales: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Beneficios (+) / Pérdidas (-)</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Compras de activos corrientes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Compras de activos no corrientes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Prestación de servicios, de la cual:</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Beneficios (+) / Pérdidas (-)</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Recepción de servicios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r w:rsidRPr="0086054C">
              <w:rPr>
                <w:rFonts w:ascii="Calibri" w:hAnsi="Calibri" w:cs="Calibri"/>
                <w:color w:val="000000"/>
                <w:sz w:val="15"/>
                <w:szCs w:val="15"/>
              </w:rPr>
              <w:t>10.121,39</w:t>
            </w: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r w:rsidRPr="0086054C">
              <w:rPr>
                <w:rFonts w:ascii="Calibri" w:hAnsi="Calibri" w:cs="Calibri"/>
                <w:color w:val="000000"/>
                <w:sz w:val="15"/>
                <w:szCs w:val="15"/>
              </w:rPr>
              <w:t>192.335,16</w:t>
            </w: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r w:rsidRPr="0086054C">
              <w:rPr>
                <w:rFonts w:ascii="Calibri" w:hAnsi="Calibri" w:cs="Calibri"/>
                <w:color w:val="000000"/>
                <w:sz w:val="15"/>
                <w:szCs w:val="15"/>
              </w:rPr>
              <w:t>40.980,31</w:t>
            </w: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Contratos de arrendamiento financiero, de los cuales: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Beneficios (+) / Pérdidas (-)</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Transferencias de investigación y desarrollo, de los cuales: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Beneficios (+) / Pérdidas (-)</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Ingresos por intereses cobrados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Ingresos por intereses devengados pero no cobrados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Gastos por intereses pagados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Gastos por intereses devengados pero no pagados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Dividendos y otros beneficios distribuidos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Garantías y avales recibidos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Garantías y avales prestados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Remuneraciones e indemnizaciones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Aportaciones a planes de pensiones y seguros de vida</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r w:rsidR="0086054C" w:rsidRPr="0086054C" w:rsidTr="0086054C">
        <w:tblPrEx>
          <w:tblCellMar>
            <w:top w:w="0" w:type="dxa"/>
            <w:bottom w:w="0" w:type="dxa"/>
          </w:tblCellMar>
        </w:tblPrEx>
        <w:trPr>
          <w:trHeight w:val="250"/>
        </w:trPr>
        <w:tc>
          <w:tcPr>
            <w:tcW w:w="49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rPr>
                <w:rFonts w:ascii="Calibri" w:hAnsi="Calibri" w:cs="Calibri"/>
                <w:color w:val="000000"/>
                <w:sz w:val="15"/>
                <w:szCs w:val="15"/>
              </w:rPr>
            </w:pPr>
            <w:r w:rsidRPr="0086054C">
              <w:rPr>
                <w:rFonts w:ascii="Calibri" w:hAnsi="Calibri" w:cs="Calibri"/>
                <w:color w:val="000000"/>
                <w:sz w:val="15"/>
                <w:szCs w:val="15"/>
              </w:rPr>
              <w:t>Prestaciones a compensar con instrumentos financieros propios</w:t>
            </w:r>
          </w:p>
        </w:tc>
        <w:tc>
          <w:tcPr>
            <w:tcW w:w="1184"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30"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c>
          <w:tcPr>
            <w:tcW w:w="1118" w:type="dxa"/>
            <w:tcBorders>
              <w:top w:val="single" w:sz="6" w:space="0" w:color="auto"/>
              <w:left w:val="single" w:sz="6" w:space="0" w:color="auto"/>
              <w:bottom w:val="single" w:sz="6" w:space="0" w:color="auto"/>
              <w:right w:val="single" w:sz="6" w:space="0" w:color="auto"/>
            </w:tcBorders>
          </w:tcPr>
          <w:p w:rsidR="0086054C" w:rsidRPr="0086054C" w:rsidRDefault="0086054C" w:rsidP="0086054C">
            <w:pPr>
              <w:autoSpaceDE w:val="0"/>
              <w:autoSpaceDN w:val="0"/>
              <w:adjustRightInd w:val="0"/>
              <w:jc w:val="right"/>
              <w:rPr>
                <w:rFonts w:ascii="Calibri" w:hAnsi="Calibri" w:cs="Calibri"/>
                <w:color w:val="000000"/>
                <w:sz w:val="15"/>
                <w:szCs w:val="15"/>
              </w:rPr>
            </w:pPr>
          </w:p>
        </w:tc>
      </w:tr>
    </w:tbl>
    <w:p w:rsidR="00E06979" w:rsidRPr="00D81B85" w:rsidRDefault="00E06979" w:rsidP="00D81B85">
      <w:pPr>
        <w:jc w:val="both"/>
        <w:rPr>
          <w:rFonts w:ascii="Arial" w:hAnsi="Arial" w:cs="Arial"/>
          <w:sz w:val="20"/>
          <w:szCs w:val="20"/>
        </w:rPr>
      </w:pP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Los servicios recibidos  corresponden al arrendamiento de espacio técnico en el CDP propiedad de las empresas del grupo.</w:t>
      </w: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Los importes recogidos en “Deuda a corto plazo” corresponden con:</w:t>
      </w:r>
    </w:p>
    <w:p w:rsidR="00FB5366" w:rsidRDefault="00FB5366"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 xml:space="preserve">-Créditos a l/p recibidos de Canarias </w:t>
      </w:r>
      <w:proofErr w:type="spellStart"/>
      <w:r>
        <w:rPr>
          <w:rFonts w:ascii="Arial" w:hAnsi="Arial" w:cs="Arial"/>
          <w:sz w:val="20"/>
          <w:szCs w:val="20"/>
        </w:rPr>
        <w:t>Submarine</w:t>
      </w:r>
      <w:proofErr w:type="spellEnd"/>
      <w:r>
        <w:rPr>
          <w:rFonts w:ascii="Arial" w:hAnsi="Arial" w:cs="Arial"/>
          <w:sz w:val="20"/>
          <w:szCs w:val="20"/>
        </w:rPr>
        <w:t xml:space="preserve"> Link, SL, convertidos en capital social y pendiente de inscripción al cierre del ejercicio.</w:t>
      </w: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-A los créditos fiscales que la sociedad mantiene con la matriz por deducciones generadas y aplicadas por esta, recogidos en “Inversiones financieras a corto plazo”.</w:t>
      </w:r>
    </w:p>
    <w:p w:rsidR="0086054C" w:rsidRDefault="0086054C" w:rsidP="0086054C">
      <w:pPr>
        <w:jc w:val="both"/>
        <w:rPr>
          <w:rFonts w:ascii="Arial" w:hAnsi="Arial" w:cs="Arial"/>
          <w:sz w:val="20"/>
          <w:szCs w:val="20"/>
        </w:rPr>
      </w:pPr>
    </w:p>
    <w:p w:rsidR="00FB5366" w:rsidRDefault="00FB5366" w:rsidP="0086054C">
      <w:pPr>
        <w:jc w:val="both"/>
        <w:rPr>
          <w:rFonts w:ascii="Arial" w:hAnsi="Arial" w:cs="Arial"/>
          <w:sz w:val="20"/>
          <w:szCs w:val="20"/>
        </w:rPr>
      </w:pPr>
      <w:r>
        <w:rPr>
          <w:rFonts w:ascii="Arial" w:hAnsi="Arial" w:cs="Arial"/>
          <w:sz w:val="20"/>
          <w:szCs w:val="20"/>
        </w:rPr>
        <w:t>-S</w:t>
      </w:r>
      <w:r w:rsidR="0086054C">
        <w:rPr>
          <w:rFonts w:ascii="Arial" w:hAnsi="Arial" w:cs="Arial"/>
          <w:sz w:val="20"/>
          <w:szCs w:val="20"/>
        </w:rPr>
        <w:t xml:space="preserve">aldos acreedores con empresas vinculadas por los servicios prestados por empresas del grupo, principalmente en la fase de puesta en marcha y despliegue de proyecto, recogidos en </w:t>
      </w:r>
      <w:r>
        <w:rPr>
          <w:rFonts w:ascii="Arial" w:hAnsi="Arial" w:cs="Arial"/>
          <w:sz w:val="20"/>
          <w:szCs w:val="20"/>
        </w:rPr>
        <w:t xml:space="preserve"> </w:t>
      </w:r>
    </w:p>
    <w:p w:rsidR="0086054C" w:rsidRDefault="0086054C" w:rsidP="0086054C">
      <w:pPr>
        <w:jc w:val="both"/>
        <w:rPr>
          <w:rFonts w:ascii="Arial" w:hAnsi="Arial" w:cs="Arial"/>
          <w:sz w:val="20"/>
          <w:szCs w:val="20"/>
        </w:rPr>
      </w:pPr>
      <w:r>
        <w:rPr>
          <w:rFonts w:ascii="Arial" w:hAnsi="Arial" w:cs="Arial"/>
          <w:sz w:val="20"/>
          <w:szCs w:val="20"/>
        </w:rPr>
        <w:t>“Acreedores</w:t>
      </w:r>
      <w:r w:rsidR="00FB5366">
        <w:rPr>
          <w:rFonts w:ascii="Arial" w:hAnsi="Arial" w:cs="Arial"/>
          <w:sz w:val="20"/>
          <w:szCs w:val="20"/>
        </w:rPr>
        <w:t xml:space="preserve"> Varios</w:t>
      </w:r>
      <w:r>
        <w:rPr>
          <w:rFonts w:ascii="Arial" w:hAnsi="Arial" w:cs="Arial"/>
          <w:sz w:val="20"/>
          <w:szCs w:val="20"/>
        </w:rPr>
        <w:t>”.</w:t>
      </w:r>
    </w:p>
    <w:p w:rsidR="0086054C" w:rsidRDefault="0086054C" w:rsidP="0086054C">
      <w:pPr>
        <w:jc w:val="both"/>
        <w:rPr>
          <w:rFonts w:ascii="Arial" w:hAnsi="Arial" w:cs="Arial"/>
          <w:sz w:val="20"/>
          <w:szCs w:val="20"/>
        </w:rPr>
      </w:pPr>
    </w:p>
    <w:p w:rsidR="0086054C" w:rsidRDefault="0086054C" w:rsidP="0086054C">
      <w:pPr>
        <w:jc w:val="both"/>
        <w:rPr>
          <w:rFonts w:ascii="Arial" w:hAnsi="Arial" w:cs="Arial"/>
          <w:sz w:val="20"/>
          <w:szCs w:val="20"/>
        </w:rPr>
      </w:pPr>
      <w:r>
        <w:rPr>
          <w:rFonts w:ascii="Arial" w:hAnsi="Arial" w:cs="Arial"/>
          <w:sz w:val="20"/>
          <w:szCs w:val="20"/>
        </w:rPr>
        <w:t>Las transacciones realizadas con las sociedades vinculadas o consideradas grupo, se han realizado a precios normales de mercado, en las mismas condiciones que las realizadas con terceros independientes</w:t>
      </w:r>
    </w:p>
    <w:p w:rsidR="00BB5E12" w:rsidRDefault="00342343" w:rsidP="00F14DF0">
      <w:pPr>
        <w:jc w:val="both"/>
        <w:rPr>
          <w:rFonts w:ascii="Arial" w:hAnsi="Arial" w:cs="Arial"/>
          <w:b/>
          <w:sz w:val="20"/>
        </w:rPr>
      </w:pPr>
      <w:r>
        <w:lastRenderedPageBreak/>
        <w:pict>
          <v:shape id="_x0000_i1028" type="#_x0000_t75" style="width:425.25pt;height:688.5pt">
            <v:imagedata r:id="rId26" o:title=""/>
          </v:shape>
        </w:pict>
      </w:r>
    </w:p>
    <w:p w:rsidR="00F72240" w:rsidRDefault="00F72240" w:rsidP="00F72240">
      <w:pPr>
        <w:jc w:val="both"/>
        <w:rPr>
          <w:rFonts w:ascii="Arial" w:hAnsi="Arial" w:cs="Arial"/>
          <w:sz w:val="20"/>
          <w:szCs w:val="20"/>
        </w:rPr>
      </w:pPr>
    </w:p>
    <w:p w:rsidR="0086054C" w:rsidRDefault="0086054C" w:rsidP="00F72240">
      <w:pPr>
        <w:jc w:val="both"/>
        <w:rPr>
          <w:rFonts w:ascii="Arial" w:hAnsi="Arial" w:cs="Arial"/>
          <w:sz w:val="20"/>
          <w:u w:val="single"/>
        </w:rPr>
      </w:pPr>
    </w:p>
    <w:p w:rsidR="00F72240" w:rsidRPr="00F72240" w:rsidRDefault="00F72240" w:rsidP="00F72240">
      <w:pPr>
        <w:jc w:val="both"/>
        <w:rPr>
          <w:rFonts w:ascii="Arial" w:hAnsi="Arial" w:cs="Arial"/>
          <w:sz w:val="20"/>
        </w:rPr>
      </w:pPr>
      <w:r w:rsidRPr="00F72240">
        <w:rPr>
          <w:rFonts w:ascii="Arial" w:hAnsi="Arial" w:cs="Arial"/>
          <w:sz w:val="20"/>
          <w:u w:val="single"/>
        </w:rPr>
        <w:lastRenderedPageBreak/>
        <w:t>Transacciones con el personal de alta dirección</w:t>
      </w:r>
      <w:r w:rsidRPr="00F72240">
        <w:rPr>
          <w:rFonts w:ascii="Arial" w:hAnsi="Arial" w:cs="Arial"/>
          <w:sz w:val="20"/>
        </w:rPr>
        <w:t xml:space="preserve">: </w:t>
      </w:r>
    </w:p>
    <w:p w:rsidR="00F72240" w:rsidRPr="00F72240" w:rsidRDefault="00F72240" w:rsidP="00F72240">
      <w:pPr>
        <w:jc w:val="both"/>
        <w:rPr>
          <w:rFonts w:ascii="Arial" w:hAnsi="Arial" w:cs="Arial"/>
          <w:sz w:val="20"/>
        </w:rPr>
      </w:pPr>
    </w:p>
    <w:p w:rsidR="00F72240" w:rsidRPr="00F72240" w:rsidRDefault="00F72240" w:rsidP="0086054C">
      <w:pPr>
        <w:jc w:val="both"/>
        <w:rPr>
          <w:rFonts w:ascii="Arial" w:hAnsi="Arial" w:cs="Arial"/>
          <w:sz w:val="20"/>
        </w:rPr>
      </w:pPr>
      <w:r w:rsidRPr="00F72240">
        <w:rPr>
          <w:rFonts w:ascii="Arial" w:hAnsi="Arial" w:cs="Arial"/>
          <w:sz w:val="20"/>
        </w:rPr>
        <w:t xml:space="preserve">Retribución a los miembros del </w:t>
      </w:r>
      <w:r w:rsidR="00DA1D5C">
        <w:rPr>
          <w:rFonts w:ascii="Arial" w:hAnsi="Arial" w:cs="Arial"/>
          <w:sz w:val="20"/>
        </w:rPr>
        <w:t>órgano</w:t>
      </w:r>
      <w:r w:rsidRPr="00F72240">
        <w:rPr>
          <w:rFonts w:ascii="Arial" w:hAnsi="Arial" w:cs="Arial"/>
          <w:sz w:val="20"/>
        </w:rPr>
        <w:t xml:space="preserve"> de Administración  </w:t>
      </w:r>
    </w:p>
    <w:p w:rsidR="00F72240" w:rsidRPr="00F72240" w:rsidRDefault="00F72240" w:rsidP="00F72240">
      <w:pPr>
        <w:jc w:val="both"/>
        <w:rPr>
          <w:rFonts w:ascii="Arial" w:hAnsi="Arial" w:cs="Arial"/>
          <w:sz w:val="20"/>
        </w:rPr>
      </w:pPr>
    </w:p>
    <w:p w:rsidR="00F72240" w:rsidRDefault="00F72240" w:rsidP="00F72240">
      <w:pPr>
        <w:jc w:val="both"/>
        <w:rPr>
          <w:rFonts w:ascii="Arial" w:hAnsi="Arial" w:cs="Arial"/>
          <w:sz w:val="20"/>
        </w:rPr>
      </w:pPr>
      <w:r w:rsidRPr="00F72240">
        <w:rPr>
          <w:rFonts w:ascii="Arial" w:hAnsi="Arial" w:cs="Arial"/>
          <w:sz w:val="20"/>
        </w:rPr>
        <w:t xml:space="preserve">Los miembros del </w:t>
      </w:r>
      <w:r w:rsidR="00DA1D5C">
        <w:rPr>
          <w:rFonts w:ascii="Arial" w:hAnsi="Arial" w:cs="Arial"/>
          <w:sz w:val="20"/>
        </w:rPr>
        <w:t>órgano</w:t>
      </w:r>
      <w:r w:rsidRPr="00F72240">
        <w:rPr>
          <w:rFonts w:ascii="Arial" w:hAnsi="Arial" w:cs="Arial"/>
          <w:sz w:val="20"/>
        </w:rPr>
        <w:t xml:space="preserve">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w:t>
      </w:r>
    </w:p>
    <w:p w:rsidR="00F72240" w:rsidRPr="00F72240" w:rsidRDefault="00F72240" w:rsidP="00F72240">
      <w:pPr>
        <w:jc w:val="both"/>
        <w:rPr>
          <w:rFonts w:ascii="Arial" w:hAnsi="Arial" w:cs="Arial"/>
          <w:sz w:val="20"/>
        </w:rPr>
      </w:pPr>
    </w:p>
    <w:p w:rsidR="00BB5E12" w:rsidRDefault="00BB5E12" w:rsidP="00F14DF0">
      <w:pPr>
        <w:jc w:val="both"/>
        <w:rPr>
          <w:rFonts w:ascii="Arial" w:hAnsi="Arial" w:cs="Arial"/>
          <w:b/>
          <w:sz w:val="20"/>
        </w:rPr>
      </w:pPr>
    </w:p>
    <w:p w:rsidR="00F72240" w:rsidRDefault="00F72240" w:rsidP="00F72240">
      <w:pPr>
        <w:jc w:val="both"/>
        <w:rPr>
          <w:rFonts w:ascii="Arial" w:hAnsi="Arial" w:cs="Arial"/>
          <w:b/>
          <w:sz w:val="20"/>
          <w:szCs w:val="20"/>
        </w:rPr>
      </w:pPr>
      <w:r>
        <w:rPr>
          <w:rFonts w:ascii="Arial" w:hAnsi="Arial" w:cs="Arial"/>
          <w:b/>
          <w:sz w:val="20"/>
          <w:szCs w:val="20"/>
        </w:rPr>
        <w:t>10</w:t>
      </w:r>
      <w:r w:rsidRPr="00D81B85">
        <w:rPr>
          <w:rFonts w:ascii="Arial" w:hAnsi="Arial" w:cs="Arial"/>
          <w:b/>
          <w:sz w:val="20"/>
          <w:szCs w:val="20"/>
        </w:rPr>
        <w:t xml:space="preserve">.-  </w:t>
      </w:r>
      <w:r>
        <w:rPr>
          <w:rFonts w:ascii="Arial" w:hAnsi="Arial" w:cs="Arial"/>
          <w:b/>
          <w:sz w:val="20"/>
          <w:szCs w:val="20"/>
        </w:rPr>
        <w:t>INGRESOS Y GASTOS</w:t>
      </w:r>
    </w:p>
    <w:p w:rsidR="00F72240" w:rsidRDefault="00F72240" w:rsidP="00F72240">
      <w:pPr>
        <w:jc w:val="both"/>
        <w:rPr>
          <w:rFonts w:ascii="Arial" w:hAnsi="Arial" w:cs="Arial"/>
          <w:b/>
          <w:sz w:val="20"/>
          <w:szCs w:val="20"/>
        </w:rPr>
      </w:pPr>
    </w:p>
    <w:p w:rsidR="00F72240" w:rsidRPr="007D649B" w:rsidRDefault="00F72240" w:rsidP="00F72240">
      <w:pPr>
        <w:tabs>
          <w:tab w:val="left" w:pos="1418"/>
          <w:tab w:val="left" w:pos="7655"/>
        </w:tabs>
        <w:jc w:val="both"/>
        <w:rPr>
          <w:rFonts w:ascii="Arial" w:hAnsi="Arial" w:cs="Arial"/>
          <w:sz w:val="20"/>
          <w:szCs w:val="20"/>
          <w:u w:val="single"/>
        </w:rPr>
      </w:pPr>
      <w:r w:rsidRPr="007D649B">
        <w:rPr>
          <w:rFonts w:ascii="Arial" w:hAnsi="Arial" w:cs="Arial"/>
          <w:sz w:val="20"/>
          <w:szCs w:val="20"/>
          <w:u w:val="single"/>
        </w:rPr>
        <w:t>Aprovisionamientos</w:t>
      </w:r>
    </w:p>
    <w:p w:rsidR="00F72240" w:rsidRPr="007D649B" w:rsidRDefault="00F72240" w:rsidP="00F72240">
      <w:pPr>
        <w:tabs>
          <w:tab w:val="left" w:pos="1418"/>
          <w:tab w:val="left" w:pos="7655"/>
        </w:tabs>
        <w:jc w:val="both"/>
        <w:rPr>
          <w:rFonts w:ascii="Arial" w:hAnsi="Arial" w:cs="Arial"/>
          <w:sz w:val="20"/>
          <w:szCs w:val="20"/>
        </w:rPr>
      </w:pPr>
    </w:p>
    <w:p w:rsidR="00F72240" w:rsidRDefault="00F72240" w:rsidP="00F72240">
      <w:pPr>
        <w:tabs>
          <w:tab w:val="left" w:pos="1418"/>
          <w:tab w:val="left" w:pos="7655"/>
        </w:tabs>
        <w:jc w:val="both"/>
        <w:rPr>
          <w:rFonts w:ascii="Arial" w:hAnsi="Arial" w:cs="Arial"/>
          <w:sz w:val="20"/>
          <w:szCs w:val="20"/>
        </w:rPr>
      </w:pPr>
      <w:r w:rsidRPr="007D649B">
        <w:rPr>
          <w:rFonts w:ascii="Arial" w:hAnsi="Arial" w:cs="Arial"/>
          <w:sz w:val="20"/>
          <w:szCs w:val="20"/>
        </w:rPr>
        <w:t xml:space="preserve">La partida de aprovisionamientos </w:t>
      </w:r>
      <w:r>
        <w:rPr>
          <w:rFonts w:ascii="Arial" w:hAnsi="Arial" w:cs="Arial"/>
          <w:sz w:val="20"/>
          <w:szCs w:val="20"/>
        </w:rPr>
        <w:t>no</w:t>
      </w:r>
      <w:r w:rsidRPr="007D649B">
        <w:rPr>
          <w:rFonts w:ascii="Arial" w:hAnsi="Arial" w:cs="Arial"/>
          <w:sz w:val="20"/>
          <w:szCs w:val="20"/>
        </w:rPr>
        <w:t xml:space="preserve"> refleja </w:t>
      </w:r>
      <w:r>
        <w:rPr>
          <w:rFonts w:ascii="Arial" w:hAnsi="Arial" w:cs="Arial"/>
          <w:sz w:val="20"/>
          <w:szCs w:val="20"/>
        </w:rPr>
        <w:t xml:space="preserve">saldo </w:t>
      </w:r>
      <w:r w:rsidRPr="007D649B">
        <w:rPr>
          <w:rFonts w:ascii="Arial" w:hAnsi="Arial" w:cs="Arial"/>
          <w:sz w:val="20"/>
          <w:szCs w:val="20"/>
        </w:rPr>
        <w:t xml:space="preserve">en la cuenta de pérdidas y ganancias </w:t>
      </w:r>
    </w:p>
    <w:p w:rsidR="00F72240" w:rsidRDefault="00F72240" w:rsidP="00F72240">
      <w:pPr>
        <w:tabs>
          <w:tab w:val="left" w:pos="1418"/>
          <w:tab w:val="left" w:pos="7655"/>
        </w:tabs>
        <w:jc w:val="both"/>
        <w:rPr>
          <w:rFonts w:ascii="Arial" w:hAnsi="Arial" w:cs="Arial"/>
          <w:sz w:val="20"/>
          <w:szCs w:val="20"/>
          <w:u w:val="single"/>
        </w:rPr>
      </w:pPr>
    </w:p>
    <w:p w:rsidR="00F72240" w:rsidRDefault="00F72240" w:rsidP="00F72240">
      <w:pPr>
        <w:tabs>
          <w:tab w:val="left" w:pos="1418"/>
          <w:tab w:val="left" w:pos="7655"/>
        </w:tabs>
        <w:jc w:val="both"/>
        <w:rPr>
          <w:rFonts w:ascii="Arial" w:hAnsi="Arial" w:cs="Arial"/>
          <w:sz w:val="20"/>
          <w:szCs w:val="20"/>
          <w:u w:val="single"/>
        </w:rPr>
      </w:pPr>
      <w:r w:rsidRPr="007D649B">
        <w:rPr>
          <w:rFonts w:ascii="Arial" w:hAnsi="Arial" w:cs="Arial"/>
          <w:sz w:val="20"/>
          <w:szCs w:val="20"/>
          <w:u w:val="single"/>
        </w:rPr>
        <w:t>Otros gastos de explotación</w:t>
      </w:r>
    </w:p>
    <w:p w:rsidR="00F72240" w:rsidRDefault="00F72240" w:rsidP="00F72240">
      <w:pPr>
        <w:tabs>
          <w:tab w:val="left" w:pos="1418"/>
          <w:tab w:val="left" w:pos="7655"/>
        </w:tabs>
        <w:jc w:val="both"/>
        <w:rPr>
          <w:rFonts w:ascii="Arial" w:hAnsi="Arial" w:cs="Arial"/>
          <w:sz w:val="20"/>
          <w:szCs w:val="20"/>
          <w:u w:val="single"/>
        </w:rPr>
      </w:pPr>
    </w:p>
    <w:p w:rsidR="00F72240" w:rsidRDefault="00F72240" w:rsidP="00F72240">
      <w:pPr>
        <w:tabs>
          <w:tab w:val="left" w:pos="1418"/>
          <w:tab w:val="left" w:pos="7655"/>
        </w:tabs>
        <w:jc w:val="both"/>
        <w:rPr>
          <w:rFonts w:ascii="Arial" w:hAnsi="Arial" w:cs="Arial"/>
          <w:sz w:val="20"/>
          <w:szCs w:val="20"/>
        </w:rPr>
      </w:pPr>
      <w:r w:rsidRPr="007D649B">
        <w:rPr>
          <w:rFonts w:ascii="Arial" w:hAnsi="Arial" w:cs="Arial"/>
          <w:sz w:val="20"/>
          <w:szCs w:val="20"/>
        </w:rPr>
        <w:t>Según el siguiente detalle</w:t>
      </w:r>
      <w:r>
        <w:rPr>
          <w:rFonts w:ascii="Arial" w:hAnsi="Arial" w:cs="Arial"/>
          <w:sz w:val="20"/>
          <w:szCs w:val="20"/>
        </w:rPr>
        <w:t>:</w:t>
      </w:r>
    </w:p>
    <w:p w:rsidR="00F72240" w:rsidRDefault="00A0248A" w:rsidP="00F72240">
      <w:pPr>
        <w:jc w:val="both"/>
        <w:rPr>
          <w:rFonts w:ascii="Arial" w:hAnsi="Arial" w:cs="Arial"/>
          <w:b/>
          <w:sz w:val="20"/>
          <w:szCs w:val="20"/>
        </w:rPr>
      </w:pPr>
      <w:r w:rsidRPr="00A0248A">
        <w:rPr>
          <w:noProof/>
        </w:rPr>
        <w:pict>
          <v:shape id="_x0000_s1060" type="#_x0000_t75" style="position:absolute;left:0;text-align:left;margin-left:40.2pt;margin-top:2.05pt;width:333.75pt;height:171.95pt;z-index:251680768;mso-position-horizontal-relative:text;mso-position-vertical-relative:text">
            <v:imagedata r:id="rId27" o:title=""/>
            <w10:wrap type="square"/>
          </v:shape>
        </w:pict>
      </w:r>
    </w:p>
    <w:p w:rsidR="00BB5E12" w:rsidRDefault="00BB5E12" w:rsidP="00F14DF0">
      <w:pPr>
        <w:jc w:val="both"/>
        <w:rPr>
          <w:rFonts w:ascii="Arial" w:hAnsi="Arial" w:cs="Arial"/>
          <w:b/>
          <w:sz w:val="20"/>
        </w:rPr>
      </w:pPr>
    </w:p>
    <w:p w:rsidR="00BB5E12" w:rsidRDefault="00BB5E12" w:rsidP="00F14DF0">
      <w:pPr>
        <w:jc w:val="both"/>
        <w:rPr>
          <w:rFonts w:ascii="Arial" w:hAnsi="Arial" w:cs="Arial"/>
          <w:b/>
          <w:sz w:val="20"/>
        </w:rPr>
      </w:pPr>
    </w:p>
    <w:p w:rsidR="00E06979" w:rsidRDefault="00E06979" w:rsidP="007A74A8">
      <w:pPr>
        <w:autoSpaceDE w:val="0"/>
        <w:autoSpaceDN w:val="0"/>
        <w:adjustRightInd w:val="0"/>
        <w:spacing w:after="120"/>
        <w:jc w:val="both"/>
        <w:rPr>
          <w:rFonts w:ascii="Arial" w:hAnsi="Arial" w:cs="Arial"/>
          <w:color w:val="00000A"/>
          <w:sz w:val="20"/>
          <w:szCs w:val="20"/>
        </w:rPr>
      </w:pPr>
      <w:r w:rsidRPr="00320D7C">
        <w:rPr>
          <w:rFonts w:ascii="Arial" w:hAnsi="Arial" w:cs="Arial"/>
          <w:color w:val="00000A"/>
          <w:sz w:val="20"/>
          <w:szCs w:val="20"/>
        </w:rPr>
        <w:t xml:space="preserve">  </w:t>
      </w:r>
    </w:p>
    <w:p w:rsidR="00F72240" w:rsidRDefault="00F72240" w:rsidP="007A74A8">
      <w:pPr>
        <w:autoSpaceDE w:val="0"/>
        <w:autoSpaceDN w:val="0"/>
        <w:adjustRightInd w:val="0"/>
        <w:spacing w:after="120"/>
        <w:jc w:val="both"/>
        <w:rPr>
          <w:rFonts w:ascii="Arial" w:hAnsi="Arial" w:cs="Arial"/>
          <w:color w:val="00000A"/>
          <w:sz w:val="20"/>
          <w:szCs w:val="20"/>
        </w:rPr>
      </w:pPr>
    </w:p>
    <w:p w:rsidR="00F72240" w:rsidRDefault="00F72240" w:rsidP="007A74A8">
      <w:pPr>
        <w:autoSpaceDE w:val="0"/>
        <w:autoSpaceDN w:val="0"/>
        <w:adjustRightInd w:val="0"/>
        <w:spacing w:after="120"/>
        <w:jc w:val="both"/>
        <w:rPr>
          <w:rFonts w:ascii="Arial" w:hAnsi="Arial" w:cs="Arial"/>
          <w:color w:val="00000A"/>
          <w:sz w:val="20"/>
          <w:szCs w:val="20"/>
        </w:rPr>
      </w:pPr>
    </w:p>
    <w:p w:rsidR="00F72240" w:rsidRDefault="00F72240" w:rsidP="007A74A8">
      <w:pPr>
        <w:autoSpaceDE w:val="0"/>
        <w:autoSpaceDN w:val="0"/>
        <w:adjustRightInd w:val="0"/>
        <w:spacing w:after="120"/>
        <w:jc w:val="both"/>
        <w:rPr>
          <w:rFonts w:ascii="Arial" w:hAnsi="Arial" w:cs="Arial"/>
          <w:color w:val="00000A"/>
          <w:sz w:val="20"/>
          <w:szCs w:val="20"/>
        </w:rPr>
      </w:pPr>
    </w:p>
    <w:p w:rsidR="00F72240" w:rsidRDefault="00F72240" w:rsidP="007A74A8">
      <w:pPr>
        <w:autoSpaceDE w:val="0"/>
        <w:autoSpaceDN w:val="0"/>
        <w:adjustRightInd w:val="0"/>
        <w:spacing w:after="120"/>
        <w:jc w:val="both"/>
        <w:rPr>
          <w:rFonts w:ascii="Arial" w:hAnsi="Arial" w:cs="Arial"/>
          <w:color w:val="00000A"/>
          <w:sz w:val="20"/>
          <w:szCs w:val="20"/>
        </w:rPr>
      </w:pPr>
    </w:p>
    <w:p w:rsidR="00F72240" w:rsidRDefault="00F72240" w:rsidP="007A74A8">
      <w:pPr>
        <w:autoSpaceDE w:val="0"/>
        <w:autoSpaceDN w:val="0"/>
        <w:adjustRightInd w:val="0"/>
        <w:spacing w:after="120"/>
        <w:jc w:val="both"/>
        <w:rPr>
          <w:rFonts w:ascii="Arial" w:hAnsi="Arial" w:cs="Arial"/>
          <w:color w:val="00000A"/>
          <w:sz w:val="20"/>
          <w:szCs w:val="20"/>
        </w:rPr>
      </w:pPr>
    </w:p>
    <w:p w:rsidR="00F72240" w:rsidRDefault="00F72240" w:rsidP="007A74A8">
      <w:pPr>
        <w:autoSpaceDE w:val="0"/>
        <w:autoSpaceDN w:val="0"/>
        <w:adjustRightInd w:val="0"/>
        <w:spacing w:after="120"/>
        <w:jc w:val="both"/>
        <w:rPr>
          <w:rFonts w:ascii="Arial" w:hAnsi="Arial" w:cs="Arial"/>
          <w:color w:val="00000A"/>
          <w:sz w:val="20"/>
          <w:szCs w:val="20"/>
        </w:rPr>
      </w:pPr>
    </w:p>
    <w:p w:rsidR="00F72240" w:rsidRDefault="00F72240" w:rsidP="007A74A8">
      <w:pPr>
        <w:autoSpaceDE w:val="0"/>
        <w:autoSpaceDN w:val="0"/>
        <w:adjustRightInd w:val="0"/>
        <w:spacing w:after="120"/>
        <w:jc w:val="both"/>
        <w:rPr>
          <w:rFonts w:ascii="Arial" w:hAnsi="Arial" w:cs="Arial"/>
          <w:b/>
          <w:color w:val="000000"/>
          <w:sz w:val="20"/>
          <w:szCs w:val="20"/>
        </w:rPr>
      </w:pPr>
    </w:p>
    <w:p w:rsidR="000B3C4B" w:rsidRDefault="000B3C4B" w:rsidP="00D81B85">
      <w:pPr>
        <w:autoSpaceDE w:val="0"/>
        <w:autoSpaceDN w:val="0"/>
        <w:adjustRightInd w:val="0"/>
        <w:spacing w:after="120"/>
        <w:jc w:val="both"/>
        <w:rPr>
          <w:rFonts w:ascii="Arial" w:hAnsi="Arial" w:cs="Arial"/>
          <w:color w:val="000000"/>
          <w:sz w:val="20"/>
          <w:szCs w:val="20"/>
        </w:rPr>
      </w:pPr>
    </w:p>
    <w:p w:rsidR="00C5078C" w:rsidRDefault="00C5078C" w:rsidP="00D81B85">
      <w:pPr>
        <w:autoSpaceDE w:val="0"/>
        <w:autoSpaceDN w:val="0"/>
        <w:adjustRightInd w:val="0"/>
        <w:spacing w:after="120"/>
        <w:jc w:val="both"/>
        <w:rPr>
          <w:rFonts w:ascii="Arial" w:hAnsi="Arial" w:cs="Arial"/>
          <w:color w:val="000000"/>
          <w:sz w:val="20"/>
          <w:szCs w:val="20"/>
        </w:rPr>
      </w:pPr>
      <w:r>
        <w:rPr>
          <w:rFonts w:ascii="Arial" w:hAnsi="Arial" w:cs="Arial"/>
          <w:color w:val="000000"/>
          <w:sz w:val="20"/>
          <w:szCs w:val="20"/>
        </w:rPr>
        <w:t>En otros tributos se reflejan los impuestos y tasas pagadas por ocupación de zona portuaria y el pago de un canon al Ministerio de Agricultura y Alimentación y Medio Ambiente</w:t>
      </w:r>
      <w:r w:rsidR="00FB5366">
        <w:rPr>
          <w:rFonts w:ascii="Arial" w:hAnsi="Arial" w:cs="Arial"/>
          <w:color w:val="000000"/>
          <w:sz w:val="20"/>
          <w:szCs w:val="20"/>
        </w:rPr>
        <w:t>.</w:t>
      </w:r>
      <w:r w:rsidR="006678F3">
        <w:rPr>
          <w:rFonts w:ascii="Arial" w:hAnsi="Arial" w:cs="Arial"/>
          <w:color w:val="000000"/>
          <w:sz w:val="20"/>
          <w:szCs w:val="20"/>
        </w:rPr>
        <w:t xml:space="preserve"> </w:t>
      </w:r>
    </w:p>
    <w:p w:rsidR="00C5078C" w:rsidRPr="00F84F4C" w:rsidRDefault="00C5078C" w:rsidP="00C5078C">
      <w:pPr>
        <w:tabs>
          <w:tab w:val="left" w:pos="1418"/>
          <w:tab w:val="left" w:pos="7655"/>
        </w:tabs>
        <w:jc w:val="both"/>
        <w:rPr>
          <w:rFonts w:ascii="Arial" w:hAnsi="Arial" w:cs="Arial"/>
          <w:sz w:val="20"/>
          <w:szCs w:val="20"/>
          <w:u w:val="single"/>
        </w:rPr>
      </w:pPr>
      <w:r>
        <w:rPr>
          <w:rFonts w:ascii="Arial" w:hAnsi="Arial" w:cs="Arial"/>
          <w:sz w:val="20"/>
          <w:szCs w:val="20"/>
          <w:u w:val="single"/>
        </w:rPr>
        <w:t>Importe neto de la cifra de negocios</w:t>
      </w:r>
    </w:p>
    <w:p w:rsidR="00C5078C" w:rsidRPr="00F84F4C" w:rsidRDefault="00C5078C" w:rsidP="00C5078C">
      <w:pPr>
        <w:tabs>
          <w:tab w:val="left" w:pos="1418"/>
          <w:tab w:val="left" w:pos="7655"/>
        </w:tabs>
        <w:jc w:val="both"/>
        <w:rPr>
          <w:rFonts w:ascii="Arial" w:hAnsi="Arial" w:cs="Arial"/>
          <w:sz w:val="20"/>
          <w:szCs w:val="20"/>
          <w:u w:val="single"/>
        </w:rPr>
      </w:pPr>
    </w:p>
    <w:p w:rsidR="00FB5366" w:rsidRDefault="00C5078C" w:rsidP="00FB5366">
      <w:pPr>
        <w:autoSpaceDE w:val="0"/>
        <w:autoSpaceDN w:val="0"/>
        <w:adjustRightInd w:val="0"/>
        <w:spacing w:after="120"/>
        <w:jc w:val="both"/>
        <w:rPr>
          <w:rFonts w:ascii="Arial" w:hAnsi="Arial" w:cs="Arial"/>
          <w:color w:val="000000"/>
          <w:sz w:val="20"/>
          <w:szCs w:val="20"/>
        </w:rPr>
      </w:pPr>
      <w:r>
        <w:rPr>
          <w:rFonts w:ascii="Arial" w:hAnsi="Arial" w:cs="Arial"/>
          <w:sz w:val="20"/>
          <w:szCs w:val="20"/>
        </w:rPr>
        <w:t>La sociedad refleja por primera vez desde el inicio de su actividad</w:t>
      </w:r>
      <w:r w:rsidRPr="00F84F4C">
        <w:rPr>
          <w:rFonts w:ascii="Arial" w:hAnsi="Arial" w:cs="Arial"/>
          <w:sz w:val="20"/>
          <w:szCs w:val="20"/>
        </w:rPr>
        <w:t xml:space="preserve"> importe neto de la cifra de negocio</w:t>
      </w:r>
      <w:r>
        <w:rPr>
          <w:rFonts w:ascii="Arial" w:hAnsi="Arial" w:cs="Arial"/>
          <w:sz w:val="20"/>
          <w:szCs w:val="20"/>
        </w:rPr>
        <w:t xml:space="preserve"> por facturaciones realizadas al Consorcio ACE por servicios prestados</w:t>
      </w:r>
      <w:r w:rsidR="00FB5366" w:rsidRPr="00FB5366">
        <w:rPr>
          <w:rFonts w:ascii="Arial" w:hAnsi="Arial" w:cs="Arial"/>
          <w:color w:val="000000"/>
          <w:sz w:val="20"/>
          <w:szCs w:val="20"/>
        </w:rPr>
        <w:t xml:space="preserve"> </w:t>
      </w:r>
      <w:r w:rsidR="00FB5366">
        <w:rPr>
          <w:rFonts w:ascii="Arial" w:hAnsi="Arial" w:cs="Arial"/>
          <w:color w:val="000000"/>
          <w:sz w:val="20"/>
          <w:szCs w:val="20"/>
        </w:rPr>
        <w:t>por 1.742.945 € en 2016 y 0 € en 2015.</w:t>
      </w:r>
    </w:p>
    <w:p w:rsidR="00C5078C" w:rsidRDefault="00C5078C" w:rsidP="00C5078C">
      <w:pPr>
        <w:tabs>
          <w:tab w:val="left" w:pos="1418"/>
          <w:tab w:val="left" w:pos="7655"/>
        </w:tabs>
        <w:jc w:val="both"/>
        <w:rPr>
          <w:rFonts w:ascii="Arial" w:hAnsi="Arial" w:cs="Arial"/>
          <w:sz w:val="20"/>
          <w:szCs w:val="20"/>
        </w:rPr>
      </w:pPr>
    </w:p>
    <w:p w:rsidR="006678F3" w:rsidRDefault="006678F3" w:rsidP="00C5078C">
      <w:pPr>
        <w:tabs>
          <w:tab w:val="left" w:pos="1418"/>
          <w:tab w:val="left" w:pos="7655"/>
        </w:tabs>
        <w:jc w:val="both"/>
        <w:rPr>
          <w:rFonts w:ascii="Arial" w:hAnsi="Arial" w:cs="Arial"/>
          <w:sz w:val="20"/>
          <w:szCs w:val="20"/>
        </w:rPr>
      </w:pPr>
    </w:p>
    <w:p w:rsidR="00C5078C" w:rsidRPr="00C5078C" w:rsidRDefault="00C5078C" w:rsidP="00C5078C">
      <w:pPr>
        <w:tabs>
          <w:tab w:val="left" w:pos="1418"/>
          <w:tab w:val="left" w:pos="7655"/>
        </w:tabs>
        <w:jc w:val="both"/>
        <w:rPr>
          <w:rFonts w:ascii="Arial" w:hAnsi="Arial" w:cs="Arial"/>
          <w:sz w:val="20"/>
          <w:szCs w:val="20"/>
          <w:u w:val="single"/>
        </w:rPr>
      </w:pPr>
      <w:r w:rsidRPr="00C5078C">
        <w:rPr>
          <w:rFonts w:ascii="Arial" w:hAnsi="Arial" w:cs="Arial"/>
          <w:sz w:val="20"/>
          <w:szCs w:val="20"/>
          <w:u w:val="single"/>
        </w:rPr>
        <w:t>Resultados originados fuera de la actividad normal de la empresa</w:t>
      </w:r>
    </w:p>
    <w:p w:rsidR="00C5078C" w:rsidRPr="00C5078C" w:rsidRDefault="00C5078C" w:rsidP="00C5078C">
      <w:pPr>
        <w:tabs>
          <w:tab w:val="left" w:pos="1418"/>
          <w:tab w:val="left" w:pos="7655"/>
        </w:tabs>
        <w:jc w:val="both"/>
        <w:rPr>
          <w:rFonts w:ascii="Arial" w:hAnsi="Arial" w:cs="Arial"/>
          <w:sz w:val="20"/>
          <w:szCs w:val="20"/>
        </w:rPr>
      </w:pPr>
    </w:p>
    <w:p w:rsidR="00C5078C" w:rsidRPr="00C5078C" w:rsidRDefault="00FA51BC" w:rsidP="00C5078C">
      <w:pPr>
        <w:tabs>
          <w:tab w:val="left" w:pos="1418"/>
          <w:tab w:val="left" w:pos="7655"/>
        </w:tabs>
        <w:jc w:val="both"/>
        <w:rPr>
          <w:rFonts w:ascii="Arial" w:hAnsi="Arial" w:cs="Arial"/>
          <w:sz w:val="20"/>
          <w:szCs w:val="20"/>
        </w:rPr>
      </w:pPr>
      <w:r>
        <w:rPr>
          <w:rFonts w:ascii="Arial" w:hAnsi="Arial" w:cs="Arial"/>
          <w:sz w:val="20"/>
          <w:szCs w:val="20"/>
        </w:rPr>
        <w:t xml:space="preserve">Los gastos financieros consisten en intereses generados por deudas con la empresa dominante por los préstamos contraídos. En el año 2016 ascendieron a </w:t>
      </w:r>
      <w:r w:rsidRPr="00FA51BC">
        <w:rPr>
          <w:rFonts w:ascii="Arial" w:hAnsi="Arial" w:cs="Arial"/>
          <w:sz w:val="20"/>
          <w:szCs w:val="20"/>
        </w:rPr>
        <w:t>206.886,71</w:t>
      </w:r>
      <w:r>
        <w:rPr>
          <w:rFonts w:ascii="Arial" w:hAnsi="Arial" w:cs="Arial"/>
          <w:sz w:val="20"/>
          <w:szCs w:val="20"/>
        </w:rPr>
        <w:t xml:space="preserve"> € (</w:t>
      </w:r>
      <w:r w:rsidRPr="00FA51BC">
        <w:rPr>
          <w:rFonts w:ascii="Arial" w:hAnsi="Arial" w:cs="Arial"/>
          <w:sz w:val="20"/>
          <w:szCs w:val="20"/>
        </w:rPr>
        <w:t>70.268,13</w:t>
      </w:r>
      <w:r>
        <w:rPr>
          <w:rFonts w:ascii="Arial" w:hAnsi="Arial" w:cs="Arial"/>
          <w:sz w:val="20"/>
          <w:szCs w:val="20"/>
        </w:rPr>
        <w:t xml:space="preserve"> € en 2015).</w:t>
      </w:r>
    </w:p>
    <w:p w:rsidR="00C5078C" w:rsidRPr="00C5078C" w:rsidRDefault="00C5078C" w:rsidP="00C5078C">
      <w:pPr>
        <w:tabs>
          <w:tab w:val="left" w:pos="1418"/>
          <w:tab w:val="left" w:pos="7655"/>
        </w:tabs>
        <w:jc w:val="both"/>
        <w:rPr>
          <w:rFonts w:ascii="Arial" w:hAnsi="Arial" w:cs="Arial"/>
          <w:sz w:val="20"/>
          <w:szCs w:val="20"/>
        </w:rPr>
      </w:pPr>
    </w:p>
    <w:p w:rsidR="00C5078C" w:rsidRPr="00F84F4C" w:rsidRDefault="00C5078C" w:rsidP="00C5078C">
      <w:pPr>
        <w:tabs>
          <w:tab w:val="left" w:pos="1418"/>
          <w:tab w:val="left" w:pos="7655"/>
        </w:tabs>
        <w:jc w:val="both"/>
        <w:rPr>
          <w:rFonts w:ascii="Arial" w:hAnsi="Arial" w:cs="Arial"/>
          <w:sz w:val="20"/>
          <w:szCs w:val="20"/>
        </w:rPr>
      </w:pPr>
      <w:r w:rsidRPr="00C5078C">
        <w:rPr>
          <w:rFonts w:ascii="Arial" w:hAnsi="Arial" w:cs="Arial"/>
          <w:sz w:val="20"/>
          <w:szCs w:val="20"/>
        </w:rPr>
        <w:t>Los ingresos financieros derivados de la gestión financiera habitual</w:t>
      </w:r>
      <w:r w:rsidR="00FA51BC">
        <w:rPr>
          <w:rFonts w:ascii="Arial" w:hAnsi="Arial" w:cs="Arial"/>
          <w:sz w:val="20"/>
          <w:szCs w:val="20"/>
        </w:rPr>
        <w:t xml:space="preserve"> de la Agrupación asciende a 151,03 </w:t>
      </w:r>
      <w:r w:rsidRPr="00C5078C">
        <w:rPr>
          <w:rFonts w:ascii="Arial" w:hAnsi="Arial" w:cs="Arial"/>
          <w:sz w:val="20"/>
          <w:szCs w:val="20"/>
        </w:rPr>
        <w:t>€ (</w:t>
      </w:r>
      <w:r w:rsidR="00FA51BC">
        <w:rPr>
          <w:rFonts w:ascii="Arial" w:hAnsi="Arial" w:cs="Arial"/>
          <w:sz w:val="20"/>
          <w:szCs w:val="20"/>
        </w:rPr>
        <w:t xml:space="preserve">10,25 </w:t>
      </w:r>
      <w:r w:rsidRPr="00C5078C">
        <w:rPr>
          <w:rFonts w:ascii="Arial" w:hAnsi="Arial" w:cs="Arial"/>
          <w:sz w:val="20"/>
          <w:szCs w:val="20"/>
        </w:rPr>
        <w:t>€ en 2015).</w:t>
      </w:r>
    </w:p>
    <w:p w:rsidR="00C5078C" w:rsidRDefault="00C5078C" w:rsidP="00D81B85">
      <w:pPr>
        <w:autoSpaceDE w:val="0"/>
        <w:autoSpaceDN w:val="0"/>
        <w:adjustRightInd w:val="0"/>
        <w:spacing w:after="120"/>
        <w:jc w:val="both"/>
        <w:rPr>
          <w:rFonts w:ascii="Arial" w:hAnsi="Arial" w:cs="Arial"/>
          <w:color w:val="000000"/>
          <w:sz w:val="20"/>
          <w:szCs w:val="20"/>
        </w:rPr>
      </w:pPr>
    </w:p>
    <w:p w:rsidR="00C5078C" w:rsidRPr="00C5078C" w:rsidRDefault="006678F3" w:rsidP="00D81B85">
      <w:pPr>
        <w:autoSpaceDE w:val="0"/>
        <w:autoSpaceDN w:val="0"/>
        <w:adjustRightInd w:val="0"/>
        <w:spacing w:after="120"/>
        <w:jc w:val="both"/>
        <w:rPr>
          <w:rFonts w:ascii="Arial" w:hAnsi="Arial" w:cs="Arial"/>
          <w:color w:val="000000"/>
          <w:sz w:val="20"/>
          <w:szCs w:val="20"/>
        </w:rPr>
      </w:pPr>
      <w:r>
        <w:rPr>
          <w:rFonts w:ascii="Arial" w:hAnsi="Arial" w:cs="Arial"/>
          <w:color w:val="000000"/>
          <w:sz w:val="20"/>
          <w:szCs w:val="20"/>
        </w:rPr>
        <w:t>Se recogen diferencias de cambio por valor de 31.059,38 € (-509,19 € en 2015).</w:t>
      </w:r>
    </w:p>
    <w:p w:rsidR="00E06979" w:rsidRPr="00D81B85" w:rsidRDefault="00F72240" w:rsidP="00D81B85">
      <w:pPr>
        <w:autoSpaceDE w:val="0"/>
        <w:autoSpaceDN w:val="0"/>
        <w:adjustRightInd w:val="0"/>
        <w:spacing w:after="120"/>
        <w:jc w:val="both"/>
        <w:rPr>
          <w:rFonts w:ascii="Arial" w:hAnsi="Arial" w:cs="Arial"/>
          <w:b/>
          <w:color w:val="000000"/>
          <w:sz w:val="20"/>
          <w:szCs w:val="20"/>
        </w:rPr>
      </w:pPr>
      <w:r>
        <w:rPr>
          <w:rFonts w:ascii="Arial" w:hAnsi="Arial" w:cs="Arial"/>
          <w:b/>
          <w:color w:val="000000"/>
          <w:sz w:val="20"/>
          <w:szCs w:val="20"/>
        </w:rPr>
        <w:t>11</w:t>
      </w:r>
      <w:r w:rsidR="00E06979" w:rsidRPr="00D81B85">
        <w:rPr>
          <w:rFonts w:ascii="Arial" w:hAnsi="Arial" w:cs="Arial"/>
          <w:b/>
          <w:color w:val="000000"/>
          <w:sz w:val="20"/>
          <w:szCs w:val="20"/>
        </w:rPr>
        <w:t>.-  PROVISIONES</w:t>
      </w:r>
    </w:p>
    <w:p w:rsidR="00E06979" w:rsidRDefault="00E06979" w:rsidP="00D81B85">
      <w:pPr>
        <w:autoSpaceDE w:val="0"/>
        <w:autoSpaceDN w:val="0"/>
        <w:adjustRightInd w:val="0"/>
        <w:spacing w:after="120"/>
        <w:jc w:val="both"/>
        <w:rPr>
          <w:rFonts w:ascii="Arial" w:hAnsi="Arial" w:cs="Arial"/>
          <w:sz w:val="20"/>
          <w:szCs w:val="20"/>
        </w:rPr>
      </w:pPr>
      <w:r>
        <w:rPr>
          <w:rFonts w:ascii="Arial" w:hAnsi="Arial" w:cs="Arial"/>
          <w:sz w:val="20"/>
          <w:szCs w:val="20"/>
        </w:rPr>
        <w:t>N</w:t>
      </w:r>
      <w:r w:rsidRPr="00D81B85">
        <w:rPr>
          <w:rFonts w:ascii="Arial" w:hAnsi="Arial" w:cs="Arial"/>
          <w:sz w:val="20"/>
          <w:szCs w:val="20"/>
        </w:rPr>
        <w:t>o se han dotado provisiones en el presente ejercicio.</w:t>
      </w:r>
    </w:p>
    <w:p w:rsidR="000B3C4B" w:rsidRPr="00D81B85" w:rsidRDefault="000B3C4B" w:rsidP="00D81B85">
      <w:pPr>
        <w:autoSpaceDE w:val="0"/>
        <w:autoSpaceDN w:val="0"/>
        <w:adjustRightInd w:val="0"/>
        <w:spacing w:after="120"/>
        <w:jc w:val="both"/>
        <w:rPr>
          <w:rFonts w:ascii="Arial" w:hAnsi="Arial" w:cs="Arial"/>
          <w:sz w:val="20"/>
          <w:szCs w:val="20"/>
        </w:rPr>
      </w:pPr>
    </w:p>
    <w:p w:rsidR="00E06979" w:rsidRDefault="00E06979" w:rsidP="00D81B85">
      <w:pPr>
        <w:jc w:val="both"/>
        <w:rPr>
          <w:rFonts w:ascii="Arial" w:hAnsi="Arial" w:cs="Arial"/>
          <w:b/>
          <w:sz w:val="20"/>
          <w:szCs w:val="20"/>
        </w:rPr>
      </w:pPr>
    </w:p>
    <w:p w:rsidR="000B3C4B" w:rsidRDefault="000B3C4B" w:rsidP="00D81B85">
      <w:pPr>
        <w:jc w:val="both"/>
        <w:rPr>
          <w:rFonts w:ascii="Arial" w:hAnsi="Arial" w:cs="Arial"/>
          <w:b/>
          <w:sz w:val="20"/>
          <w:szCs w:val="20"/>
        </w:rPr>
      </w:pPr>
    </w:p>
    <w:p w:rsidR="00E06979" w:rsidRDefault="00E06979" w:rsidP="00D81B85">
      <w:pPr>
        <w:jc w:val="both"/>
        <w:rPr>
          <w:rFonts w:ascii="Arial" w:hAnsi="Arial" w:cs="Arial"/>
          <w:b/>
          <w:sz w:val="20"/>
          <w:szCs w:val="20"/>
        </w:rPr>
      </w:pPr>
      <w:r w:rsidRPr="00D81B85">
        <w:rPr>
          <w:rFonts w:ascii="Arial" w:hAnsi="Arial" w:cs="Arial"/>
          <w:b/>
          <w:sz w:val="20"/>
          <w:szCs w:val="20"/>
        </w:rPr>
        <w:t>1</w:t>
      </w:r>
      <w:r w:rsidR="00FA51BC">
        <w:rPr>
          <w:rFonts w:ascii="Arial" w:hAnsi="Arial" w:cs="Arial"/>
          <w:b/>
          <w:sz w:val="20"/>
          <w:szCs w:val="20"/>
        </w:rPr>
        <w:t>2</w:t>
      </w:r>
      <w:r w:rsidRPr="00D81B85">
        <w:rPr>
          <w:rFonts w:ascii="Arial" w:hAnsi="Arial" w:cs="Arial"/>
          <w:b/>
          <w:sz w:val="20"/>
          <w:szCs w:val="20"/>
        </w:rPr>
        <w:t xml:space="preserve">.-  </w:t>
      </w:r>
      <w:r w:rsidR="00FA51BC">
        <w:rPr>
          <w:rFonts w:ascii="Arial" w:hAnsi="Arial" w:cs="Arial"/>
          <w:b/>
          <w:sz w:val="20"/>
          <w:szCs w:val="20"/>
        </w:rPr>
        <w:t>OTRA INFORMACION</w:t>
      </w:r>
    </w:p>
    <w:p w:rsidR="00E06979" w:rsidRPr="00D81B85" w:rsidRDefault="00E06979" w:rsidP="00D81B85">
      <w:pPr>
        <w:jc w:val="both"/>
        <w:rPr>
          <w:rFonts w:ascii="Arial" w:hAnsi="Arial" w:cs="Arial"/>
          <w:sz w:val="20"/>
          <w:szCs w:val="20"/>
        </w:rPr>
      </w:pPr>
    </w:p>
    <w:p w:rsidR="00E06979" w:rsidRDefault="00E06979" w:rsidP="0018782F">
      <w:pPr>
        <w:jc w:val="both"/>
        <w:rPr>
          <w:rFonts w:ascii="Arial" w:hAnsi="Arial" w:cs="Arial"/>
          <w:sz w:val="20"/>
        </w:rPr>
      </w:pPr>
    </w:p>
    <w:p w:rsidR="00FA51BC" w:rsidRDefault="00FA51BC" w:rsidP="00FA51BC">
      <w:pPr>
        <w:jc w:val="both"/>
        <w:rPr>
          <w:rFonts w:ascii="Arial" w:hAnsi="Arial" w:cs="Arial"/>
          <w:sz w:val="20"/>
          <w:u w:val="single"/>
        </w:rPr>
      </w:pPr>
      <w:r w:rsidRPr="00FA51BC">
        <w:rPr>
          <w:rFonts w:ascii="Arial" w:hAnsi="Arial" w:cs="Arial"/>
          <w:sz w:val="20"/>
          <w:u w:val="single"/>
        </w:rPr>
        <w:t>Garantías comprometidas con terceros:</w:t>
      </w:r>
    </w:p>
    <w:p w:rsidR="00FA51BC" w:rsidRDefault="00FA51BC" w:rsidP="00FA51BC">
      <w:pPr>
        <w:jc w:val="both"/>
        <w:rPr>
          <w:rFonts w:ascii="Arial" w:hAnsi="Arial" w:cs="Arial"/>
          <w:sz w:val="20"/>
          <w:u w:val="single"/>
        </w:rPr>
      </w:pPr>
    </w:p>
    <w:p w:rsidR="00FA51BC" w:rsidRPr="00FA51BC" w:rsidRDefault="00FA51BC" w:rsidP="00FA51BC">
      <w:pPr>
        <w:jc w:val="both"/>
        <w:rPr>
          <w:rFonts w:ascii="Arial" w:hAnsi="Arial" w:cs="Arial"/>
          <w:sz w:val="20"/>
        </w:rPr>
      </w:pPr>
      <w:r>
        <w:rPr>
          <w:rFonts w:ascii="Arial" w:hAnsi="Arial" w:cs="Arial"/>
          <w:sz w:val="20"/>
        </w:rPr>
        <w:t>Las garantías con terceros que posee la sociedad se resumen en el cuadro anexo:</w:t>
      </w:r>
    </w:p>
    <w:p w:rsidR="00E06979" w:rsidRDefault="0086054C" w:rsidP="0018782F">
      <w:pPr>
        <w:jc w:val="both"/>
        <w:rPr>
          <w:rFonts w:ascii="Arial" w:hAnsi="Arial" w:cs="Arial"/>
          <w:sz w:val="20"/>
        </w:rPr>
      </w:pPr>
      <w:r w:rsidRPr="00A0248A">
        <w:rPr>
          <w:noProof/>
        </w:rPr>
        <w:pict>
          <v:shape id="_x0000_s1062" type="#_x0000_t75" style="position:absolute;left:0;text-align:left;margin-left:-2.55pt;margin-top:16.6pt;width:411.65pt;height:45.75pt;z-index:251682816;mso-position-horizontal-relative:text;mso-position-vertical-relative:text">
            <v:imagedata r:id="rId28" o:title=""/>
            <w10:wrap type="square"/>
          </v:shape>
        </w:pict>
      </w:r>
    </w:p>
    <w:p w:rsidR="00FA51BC" w:rsidRDefault="00FA51BC" w:rsidP="00FA51BC">
      <w:pPr>
        <w:autoSpaceDE w:val="0"/>
        <w:autoSpaceDN w:val="0"/>
        <w:adjustRightInd w:val="0"/>
        <w:spacing w:after="120"/>
        <w:jc w:val="both"/>
        <w:rPr>
          <w:rFonts w:ascii="Arial" w:hAnsi="Arial" w:cs="Arial"/>
          <w:sz w:val="20"/>
          <w:szCs w:val="20"/>
          <w:u w:val="single"/>
        </w:rPr>
      </w:pPr>
    </w:p>
    <w:p w:rsidR="00FA51BC" w:rsidRPr="00FA51BC" w:rsidRDefault="00FA51BC" w:rsidP="00FA51BC">
      <w:pPr>
        <w:jc w:val="both"/>
        <w:rPr>
          <w:rFonts w:ascii="Arial" w:hAnsi="Arial" w:cs="Arial"/>
          <w:sz w:val="20"/>
          <w:u w:val="single"/>
        </w:rPr>
      </w:pPr>
      <w:r w:rsidRPr="00FA51BC">
        <w:rPr>
          <w:rFonts w:ascii="Arial" w:hAnsi="Arial" w:cs="Arial"/>
          <w:sz w:val="20"/>
          <w:u w:val="single"/>
        </w:rPr>
        <w:t>Hechos posteriores al cierre:</w:t>
      </w:r>
    </w:p>
    <w:p w:rsidR="00FA51BC" w:rsidRPr="00FA51BC" w:rsidRDefault="00FA51BC" w:rsidP="00FA51BC">
      <w:pPr>
        <w:jc w:val="both"/>
        <w:rPr>
          <w:rFonts w:ascii="Arial" w:hAnsi="Arial" w:cs="Arial"/>
          <w:sz w:val="20"/>
          <w:u w:val="single"/>
        </w:rPr>
      </w:pPr>
    </w:p>
    <w:p w:rsidR="00FB5366" w:rsidRDefault="00FB5366" w:rsidP="00FA51BC">
      <w:pPr>
        <w:jc w:val="both"/>
        <w:rPr>
          <w:rFonts w:ascii="Arial" w:hAnsi="Arial" w:cs="Arial"/>
          <w:sz w:val="20"/>
        </w:rPr>
      </w:pPr>
      <w:r>
        <w:rPr>
          <w:rFonts w:ascii="Arial" w:hAnsi="Arial" w:cs="Arial"/>
          <w:sz w:val="20"/>
        </w:rPr>
        <w:t xml:space="preserve">Con fecha 23/12/2016 se realiza una ampliación de capital  por valor de 1.000.000 € y 22.473.429 € de prima de asunción por compensación de los créditos que figuran en el Pasivo de Balance cuyo acreedor es Canarias </w:t>
      </w:r>
      <w:proofErr w:type="spellStart"/>
      <w:r>
        <w:rPr>
          <w:rFonts w:ascii="Arial" w:hAnsi="Arial" w:cs="Arial"/>
          <w:sz w:val="20"/>
        </w:rPr>
        <w:t>Submarine</w:t>
      </w:r>
      <w:proofErr w:type="spellEnd"/>
      <w:r>
        <w:rPr>
          <w:rFonts w:ascii="Arial" w:hAnsi="Arial" w:cs="Arial"/>
          <w:sz w:val="20"/>
        </w:rPr>
        <w:t xml:space="preserve"> Link. Las participaciones son asumidas y desembolsadas por el socio único, Canarias </w:t>
      </w:r>
      <w:proofErr w:type="spellStart"/>
      <w:r>
        <w:rPr>
          <w:rFonts w:ascii="Arial" w:hAnsi="Arial" w:cs="Arial"/>
          <w:sz w:val="20"/>
        </w:rPr>
        <w:t>Submarine</w:t>
      </w:r>
      <w:proofErr w:type="spellEnd"/>
      <w:r>
        <w:rPr>
          <w:rFonts w:ascii="Arial" w:hAnsi="Arial" w:cs="Arial"/>
          <w:sz w:val="20"/>
        </w:rPr>
        <w:t xml:space="preserve"> Link. </w:t>
      </w:r>
    </w:p>
    <w:p w:rsidR="00327FFB" w:rsidRDefault="00327FFB" w:rsidP="00FA51BC">
      <w:pPr>
        <w:jc w:val="both"/>
        <w:rPr>
          <w:rFonts w:ascii="Arial" w:hAnsi="Arial" w:cs="Arial"/>
          <w:sz w:val="20"/>
        </w:rPr>
      </w:pPr>
    </w:p>
    <w:p w:rsidR="00FA51BC" w:rsidRPr="00FA51BC" w:rsidRDefault="00FB5366" w:rsidP="00FA51BC">
      <w:pPr>
        <w:jc w:val="both"/>
        <w:rPr>
          <w:rFonts w:ascii="Arial" w:hAnsi="Arial" w:cs="Arial"/>
          <w:sz w:val="20"/>
          <w:szCs w:val="20"/>
        </w:rPr>
      </w:pPr>
      <w:r>
        <w:rPr>
          <w:rFonts w:ascii="Arial" w:hAnsi="Arial" w:cs="Arial"/>
          <w:sz w:val="20"/>
        </w:rPr>
        <w:t>El capital se fija en 1.003.000 €, quedando al cierre de 2016 pendiente de inscripción en el Registro Mercantil</w:t>
      </w:r>
      <w:proofErr w:type="gramStart"/>
      <w:r w:rsidR="00327FFB">
        <w:rPr>
          <w:rFonts w:ascii="Arial" w:hAnsi="Arial" w:cs="Arial"/>
          <w:sz w:val="20"/>
        </w:rPr>
        <w:t>.</w:t>
      </w:r>
      <w:r w:rsidR="00FA51BC" w:rsidRPr="00FA51BC">
        <w:rPr>
          <w:rFonts w:ascii="Arial" w:hAnsi="Arial" w:cs="Arial"/>
          <w:sz w:val="20"/>
          <w:szCs w:val="20"/>
        </w:rPr>
        <w:t>.</w:t>
      </w:r>
      <w:proofErr w:type="gramEnd"/>
    </w:p>
    <w:p w:rsidR="00FA51BC" w:rsidRDefault="00FA51BC" w:rsidP="0018782F">
      <w:pPr>
        <w:autoSpaceDE w:val="0"/>
        <w:autoSpaceDN w:val="0"/>
        <w:adjustRightInd w:val="0"/>
        <w:spacing w:after="120"/>
        <w:jc w:val="both"/>
        <w:rPr>
          <w:rFonts w:ascii="Arial" w:hAnsi="Arial" w:cs="Arial"/>
          <w:b/>
          <w:sz w:val="20"/>
          <w:szCs w:val="20"/>
        </w:rPr>
      </w:pPr>
    </w:p>
    <w:p w:rsidR="00FA51BC" w:rsidRPr="00FA51BC" w:rsidRDefault="00FA51BC" w:rsidP="00FA51BC">
      <w:pPr>
        <w:autoSpaceDE w:val="0"/>
        <w:autoSpaceDN w:val="0"/>
        <w:adjustRightInd w:val="0"/>
        <w:spacing w:after="120"/>
        <w:jc w:val="both"/>
        <w:rPr>
          <w:rFonts w:ascii="Arial" w:hAnsi="Arial" w:cs="Arial"/>
          <w:b/>
          <w:bCs/>
          <w:sz w:val="20"/>
          <w:szCs w:val="20"/>
        </w:rPr>
      </w:pPr>
      <w:r w:rsidRPr="00D81B85">
        <w:rPr>
          <w:rFonts w:ascii="Arial" w:hAnsi="Arial" w:cs="Arial"/>
          <w:b/>
          <w:sz w:val="20"/>
          <w:szCs w:val="20"/>
        </w:rPr>
        <w:t>1</w:t>
      </w:r>
      <w:r>
        <w:rPr>
          <w:rFonts w:ascii="Arial" w:hAnsi="Arial" w:cs="Arial"/>
          <w:b/>
          <w:sz w:val="20"/>
          <w:szCs w:val="20"/>
        </w:rPr>
        <w:t>3.- INFORMACIÓN SOBRE LOS DERECHOS DE EMISION DE GASES DE EFECTO INVERNADERO</w:t>
      </w:r>
    </w:p>
    <w:p w:rsidR="00FA51BC" w:rsidRDefault="00FA51BC" w:rsidP="00FA51BC">
      <w:pPr>
        <w:autoSpaceDE w:val="0"/>
        <w:autoSpaceDN w:val="0"/>
        <w:adjustRightInd w:val="0"/>
        <w:spacing w:after="120"/>
        <w:jc w:val="both"/>
        <w:rPr>
          <w:rFonts w:ascii="Arial" w:hAnsi="Arial" w:cs="Arial"/>
          <w:sz w:val="20"/>
          <w:szCs w:val="20"/>
        </w:rPr>
      </w:pPr>
      <w:proofErr w:type="spellStart"/>
      <w:r>
        <w:rPr>
          <w:rFonts w:ascii="Arial" w:hAnsi="Arial" w:cs="Arial"/>
          <w:sz w:val="20"/>
          <w:szCs w:val="20"/>
        </w:rPr>
        <w:t>Canalink</w:t>
      </w:r>
      <w:proofErr w:type="spellEnd"/>
      <w:r>
        <w:rPr>
          <w:rFonts w:ascii="Arial" w:hAnsi="Arial" w:cs="Arial"/>
          <w:sz w:val="20"/>
          <w:szCs w:val="20"/>
        </w:rPr>
        <w:t xml:space="preserve"> África</w:t>
      </w:r>
      <w:r w:rsidRPr="00FA51BC">
        <w:rPr>
          <w:rFonts w:ascii="Arial" w:hAnsi="Arial" w:cs="Arial"/>
          <w:sz w:val="20"/>
          <w:szCs w:val="20"/>
        </w:rPr>
        <w:t xml:space="preserve"> no ha tenido asignados derechos de emisión de gases de efecto invernadero durante el período de vigencia del Plan Nacional de Asignación.</w:t>
      </w:r>
    </w:p>
    <w:p w:rsidR="00FA51BC" w:rsidRDefault="00FA51BC" w:rsidP="0018782F">
      <w:pPr>
        <w:autoSpaceDE w:val="0"/>
        <w:autoSpaceDN w:val="0"/>
        <w:adjustRightInd w:val="0"/>
        <w:spacing w:after="120"/>
        <w:jc w:val="both"/>
        <w:rPr>
          <w:rFonts w:ascii="Arial" w:hAnsi="Arial" w:cs="Arial"/>
          <w:sz w:val="20"/>
          <w:szCs w:val="20"/>
        </w:rPr>
      </w:pPr>
      <w:r w:rsidRPr="00FA51BC">
        <w:rPr>
          <w:rFonts w:ascii="Arial" w:hAnsi="Arial" w:cs="Arial"/>
          <w:sz w:val="20"/>
          <w:szCs w:val="20"/>
        </w:rPr>
        <w:t xml:space="preserve">La </w:t>
      </w:r>
      <w:r>
        <w:rPr>
          <w:rFonts w:ascii="Arial" w:hAnsi="Arial" w:cs="Arial"/>
          <w:sz w:val="20"/>
          <w:szCs w:val="20"/>
        </w:rPr>
        <w:t>Sociedad</w:t>
      </w:r>
      <w:r w:rsidRPr="00FA51BC">
        <w:rPr>
          <w:rFonts w:ascii="Arial" w:hAnsi="Arial" w:cs="Arial"/>
          <w:sz w:val="20"/>
          <w:szCs w:val="20"/>
        </w:rPr>
        <w:t xml:space="preserve"> no tiene responsabilidades, gastos ni provisiones y contingencias de naturaleza medioambiental que pudieran ser significativas al cierre</w:t>
      </w:r>
      <w:r>
        <w:rPr>
          <w:rFonts w:ascii="Arial" w:hAnsi="Arial" w:cs="Arial"/>
          <w:sz w:val="20"/>
          <w:szCs w:val="20"/>
        </w:rPr>
        <w:t>.</w:t>
      </w:r>
    </w:p>
    <w:p w:rsidR="00E06979" w:rsidRDefault="00E06979" w:rsidP="000C1358">
      <w:pPr>
        <w:jc w:val="both"/>
        <w:rPr>
          <w:rFonts w:ascii="Arial" w:hAnsi="Arial" w:cs="Arial"/>
          <w:b/>
          <w:sz w:val="20"/>
          <w:szCs w:val="20"/>
        </w:rPr>
      </w:pPr>
    </w:p>
    <w:p w:rsidR="00FA51BC" w:rsidRDefault="00FA51BC" w:rsidP="000C1358">
      <w:pPr>
        <w:jc w:val="both"/>
        <w:rPr>
          <w:rFonts w:ascii="Arial" w:hAnsi="Arial" w:cs="Arial"/>
          <w:b/>
          <w:sz w:val="20"/>
          <w:szCs w:val="20"/>
        </w:rPr>
      </w:pPr>
    </w:p>
    <w:p w:rsidR="00FA51BC" w:rsidRDefault="00FA51BC" w:rsidP="000C1358">
      <w:pPr>
        <w:jc w:val="both"/>
        <w:rPr>
          <w:rFonts w:ascii="Arial" w:hAnsi="Arial" w:cs="Arial"/>
          <w:b/>
          <w:sz w:val="20"/>
          <w:szCs w:val="20"/>
        </w:rPr>
      </w:pPr>
    </w:p>
    <w:p w:rsidR="00FA51BC" w:rsidRDefault="00FA51BC" w:rsidP="000C1358">
      <w:pPr>
        <w:jc w:val="both"/>
        <w:rPr>
          <w:rFonts w:ascii="Arial" w:hAnsi="Arial" w:cs="Arial"/>
          <w:b/>
          <w:sz w:val="20"/>
          <w:szCs w:val="20"/>
        </w:rPr>
      </w:pPr>
      <w:r w:rsidRPr="00D81B85">
        <w:rPr>
          <w:rFonts w:ascii="Arial" w:hAnsi="Arial" w:cs="Arial"/>
          <w:b/>
          <w:sz w:val="20"/>
          <w:szCs w:val="20"/>
        </w:rPr>
        <w:t>1</w:t>
      </w:r>
      <w:r>
        <w:rPr>
          <w:rFonts w:ascii="Arial" w:hAnsi="Arial" w:cs="Arial"/>
          <w:b/>
          <w:sz w:val="20"/>
          <w:szCs w:val="20"/>
        </w:rPr>
        <w:t>4.- INFORMACION SOBRE APLAZAMIENTOS DE PAGO EFECTUADOS A PROVEEDORES. D.A 3ª “DEBER DE INFORMACIÓN” LEY 15/2010, DE 5 DE JULIO</w:t>
      </w:r>
    </w:p>
    <w:p w:rsidR="00E06979" w:rsidRDefault="00E06979" w:rsidP="000C1358">
      <w:pPr>
        <w:jc w:val="both"/>
        <w:rPr>
          <w:rFonts w:ascii="Arial" w:hAnsi="Arial" w:cs="Arial"/>
          <w:b/>
          <w:sz w:val="20"/>
          <w:szCs w:val="20"/>
        </w:rPr>
      </w:pPr>
    </w:p>
    <w:p w:rsidR="0083148B" w:rsidRPr="0083148B" w:rsidRDefault="0083148B" w:rsidP="0083148B">
      <w:pPr>
        <w:jc w:val="both"/>
        <w:rPr>
          <w:rFonts w:ascii="Arial" w:hAnsi="Arial" w:cs="Arial"/>
          <w:sz w:val="20"/>
          <w:szCs w:val="20"/>
          <w:u w:val="single"/>
        </w:rPr>
      </w:pPr>
      <w:r w:rsidRPr="0083148B">
        <w:rPr>
          <w:rFonts w:ascii="Arial" w:hAnsi="Arial" w:cs="Arial"/>
          <w:sz w:val="20"/>
          <w:szCs w:val="20"/>
          <w:u w:val="single"/>
        </w:rPr>
        <w:t>Información sobre aplazamientos de pago efectuados a proveedores</w:t>
      </w:r>
    </w:p>
    <w:p w:rsidR="0083148B" w:rsidRPr="0083148B" w:rsidRDefault="0083148B" w:rsidP="0083148B">
      <w:pPr>
        <w:jc w:val="both"/>
        <w:rPr>
          <w:rFonts w:ascii="Arial" w:hAnsi="Arial" w:cs="Arial"/>
          <w:sz w:val="20"/>
          <w:szCs w:val="20"/>
          <w:u w:val="single"/>
        </w:rPr>
      </w:pPr>
    </w:p>
    <w:p w:rsidR="0083148B" w:rsidRPr="0083148B" w:rsidRDefault="0083148B" w:rsidP="0083148B">
      <w:pPr>
        <w:jc w:val="both"/>
        <w:rPr>
          <w:rFonts w:ascii="Arial" w:hAnsi="Arial" w:cs="Arial"/>
          <w:sz w:val="20"/>
          <w:szCs w:val="20"/>
          <w:u w:val="single"/>
        </w:rPr>
      </w:pPr>
    </w:p>
    <w:p w:rsidR="0083148B" w:rsidRDefault="0083148B" w:rsidP="0083148B">
      <w:pPr>
        <w:rPr>
          <w:rFonts w:ascii="Arial" w:hAnsi="Arial" w:cs="Arial"/>
          <w:sz w:val="20"/>
          <w:szCs w:val="20"/>
        </w:rPr>
      </w:pPr>
      <w:r w:rsidRPr="0083148B">
        <w:rPr>
          <w:rFonts w:ascii="Arial" w:hAnsi="Arial" w:cs="Arial"/>
          <w:sz w:val="20"/>
          <w:szCs w:val="20"/>
        </w:rPr>
        <w:t>El detalle de la información requerida en relación con el periodo</w:t>
      </w:r>
      <w:r>
        <w:rPr>
          <w:rFonts w:ascii="Arial" w:hAnsi="Arial" w:cs="Arial"/>
          <w:sz w:val="20"/>
          <w:szCs w:val="20"/>
        </w:rPr>
        <w:t xml:space="preserve"> medio de pago a proveedores es </w:t>
      </w:r>
      <w:r w:rsidRPr="0083148B">
        <w:rPr>
          <w:rFonts w:ascii="Arial" w:hAnsi="Arial" w:cs="Arial"/>
          <w:sz w:val="20"/>
          <w:szCs w:val="20"/>
        </w:rPr>
        <w:t>el</w:t>
      </w:r>
      <w:r>
        <w:rPr>
          <w:rFonts w:ascii="Arial" w:hAnsi="Arial" w:cs="Arial"/>
          <w:sz w:val="20"/>
          <w:szCs w:val="20"/>
        </w:rPr>
        <w:t xml:space="preserve"> </w:t>
      </w:r>
      <w:r w:rsidRPr="0083148B">
        <w:rPr>
          <w:rFonts w:ascii="Arial" w:hAnsi="Arial" w:cs="Arial"/>
          <w:sz w:val="20"/>
          <w:szCs w:val="20"/>
        </w:rPr>
        <w:t>siguiente:</w:t>
      </w:r>
    </w:p>
    <w:p w:rsidR="0083148B" w:rsidRDefault="0083148B" w:rsidP="0083148B">
      <w:pPr>
        <w:rPr>
          <w:rFonts w:ascii="Arial" w:hAnsi="Arial" w:cs="Arial"/>
          <w:sz w:val="20"/>
          <w:szCs w:val="20"/>
        </w:rPr>
      </w:pPr>
    </w:p>
    <w:p w:rsidR="0083148B" w:rsidRDefault="0083148B" w:rsidP="0083148B">
      <w:pPr>
        <w:rPr>
          <w:rFonts w:ascii="Arial" w:hAnsi="Arial" w:cs="Arial"/>
          <w:sz w:val="20"/>
          <w:szCs w:val="20"/>
        </w:rPr>
      </w:pPr>
    </w:p>
    <w:p w:rsidR="0083148B" w:rsidRDefault="00D12CAC" w:rsidP="001903DA">
      <w:pPr>
        <w:jc w:val="center"/>
        <w:rPr>
          <w:rFonts w:ascii="Arial" w:hAnsi="Arial" w:cs="Arial"/>
          <w:sz w:val="20"/>
          <w:szCs w:val="20"/>
        </w:rPr>
      </w:pPr>
      <w:r w:rsidRPr="00D12CAC">
        <w:rPr>
          <w:szCs w:val="20"/>
        </w:rPr>
        <w:pict>
          <v:shape id="_x0000_i1062" type="#_x0000_t75" style="width:174pt;height:45.75pt">
            <v:imagedata r:id="rId29" o:title=""/>
          </v:shape>
        </w:pict>
      </w:r>
    </w:p>
    <w:p w:rsidR="0083148B" w:rsidRDefault="0083148B" w:rsidP="0083148B">
      <w:pPr>
        <w:rPr>
          <w:rFonts w:ascii="Arial" w:hAnsi="Arial" w:cs="Arial"/>
          <w:sz w:val="20"/>
          <w:szCs w:val="20"/>
        </w:rPr>
      </w:pPr>
    </w:p>
    <w:p w:rsidR="0083148B" w:rsidRDefault="0083148B" w:rsidP="0083148B">
      <w:pPr>
        <w:rPr>
          <w:rFonts w:ascii="Arial" w:hAnsi="Arial" w:cs="Arial"/>
          <w:sz w:val="20"/>
          <w:szCs w:val="20"/>
        </w:rPr>
      </w:pPr>
    </w:p>
    <w:p w:rsidR="00E06979" w:rsidRPr="000C1358" w:rsidRDefault="0083148B" w:rsidP="0083148B">
      <w:pPr>
        <w:jc w:val="both"/>
        <w:rPr>
          <w:rFonts w:ascii="Arial" w:hAnsi="Arial" w:cs="Arial"/>
          <w:sz w:val="20"/>
          <w:szCs w:val="20"/>
        </w:rPr>
      </w:pPr>
      <w:r w:rsidRPr="0083148B">
        <w:rPr>
          <w:rFonts w:ascii="Arial" w:hAnsi="Arial" w:cs="Arial"/>
          <w:sz w:val="20"/>
          <w:szCs w:val="20"/>
        </w:rPr>
        <w:t>La Ley 31/2014, de 3 de diciembre, modificó la Ley 15/2010 en relación con la información a incluir en memoria para solicitar el periodo medio de pago a proveedores. Posteriormente, la Resolución del ICAC de 29/1/2916 desarrolla la metodología para su cálculo y los requerimientos de información en memoria al respecto. Esta Resolución entró en vigor el 5/2/16 para las cuentas anuales de ejercicios iniciados a partir del 1/1/2015.</w:t>
      </w:r>
      <w:r w:rsidR="00E06979">
        <w:rPr>
          <w:rFonts w:ascii="Arial" w:hAnsi="Arial" w:cs="Arial"/>
          <w:sz w:val="20"/>
          <w:szCs w:val="20"/>
        </w:rPr>
        <w:br w:type="page"/>
      </w:r>
    </w:p>
    <w:tbl>
      <w:tblPr>
        <w:tblpPr w:leftFromText="141" w:rightFromText="141" w:vertAnchor="page" w:horzAnchor="margin" w:tblpY="2705"/>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86"/>
        <w:gridCol w:w="159"/>
      </w:tblGrid>
      <w:tr w:rsidR="00E06979" w:rsidTr="003872F5">
        <w:trPr>
          <w:gridAfter w:val="1"/>
          <w:wAfter w:w="93" w:type="pct"/>
          <w:trHeight w:val="1068"/>
        </w:trPr>
        <w:tc>
          <w:tcPr>
            <w:tcW w:w="4907" w:type="pct"/>
          </w:tcPr>
          <w:p w:rsidR="00E06979" w:rsidRDefault="00E06979" w:rsidP="00C116EE">
            <w:pPr>
              <w:pStyle w:val="Ttulo"/>
              <w:rPr>
                <w:rFonts w:ascii="Arial" w:hAnsi="Arial" w:cs="Arial"/>
                <w:sz w:val="24"/>
              </w:rPr>
            </w:pPr>
            <w:r>
              <w:rPr>
                <w:rFonts w:ascii="Arial" w:hAnsi="Arial" w:cs="Arial"/>
                <w:sz w:val="24"/>
              </w:rPr>
              <w:t>CUE</w:t>
            </w:r>
            <w:r w:rsidR="0083148B">
              <w:rPr>
                <w:rFonts w:ascii="Arial" w:hAnsi="Arial" w:cs="Arial"/>
                <w:sz w:val="24"/>
              </w:rPr>
              <w:t>NTAS ANUALES DE 2016</w:t>
            </w:r>
            <w:r>
              <w:rPr>
                <w:rFonts w:ascii="Arial" w:hAnsi="Arial" w:cs="Arial"/>
                <w:sz w:val="24"/>
              </w:rPr>
              <w:t xml:space="preserve"> FORMULADAS POR EL ADMINISTRADOR UNICO</w:t>
            </w:r>
          </w:p>
          <w:p w:rsidR="00E06979" w:rsidRDefault="00023B6E" w:rsidP="00C116EE">
            <w:pPr>
              <w:pStyle w:val="Ttulo"/>
              <w:rPr>
                <w:rFonts w:ascii="Arial" w:hAnsi="Arial" w:cs="Arial"/>
                <w:sz w:val="24"/>
              </w:rPr>
            </w:pPr>
            <w:r w:rsidRPr="0086054C">
              <w:rPr>
                <w:rFonts w:ascii="Arial" w:hAnsi="Arial" w:cs="Arial"/>
                <w:sz w:val="24"/>
              </w:rPr>
              <w:t>17</w:t>
            </w:r>
            <w:r w:rsidR="00BD5A05" w:rsidRPr="0086054C">
              <w:rPr>
                <w:rFonts w:ascii="Arial" w:hAnsi="Arial" w:cs="Arial"/>
                <w:sz w:val="24"/>
              </w:rPr>
              <w:t xml:space="preserve"> de marzo de 2017</w:t>
            </w:r>
          </w:p>
          <w:p w:rsidR="00E06979" w:rsidRDefault="00E06979" w:rsidP="000A1CCA">
            <w:pPr>
              <w:pStyle w:val="Ttulo"/>
              <w:rPr>
                <w:rFonts w:ascii="Arial" w:hAnsi="Arial" w:cs="Arial"/>
                <w:sz w:val="20"/>
              </w:rPr>
            </w:pPr>
          </w:p>
        </w:tc>
      </w:tr>
      <w:tr w:rsidR="00E06979" w:rsidRPr="00632A4D" w:rsidTr="003872F5">
        <w:trPr>
          <w:trHeight w:val="2075"/>
        </w:trPr>
        <w:tc>
          <w:tcPr>
            <w:tcW w:w="4907" w:type="pct"/>
            <w:vAlign w:val="bottom"/>
          </w:tcPr>
          <w:p w:rsidR="00E06979" w:rsidRDefault="0083148B" w:rsidP="00C116EE">
            <w:pPr>
              <w:tabs>
                <w:tab w:val="left" w:pos="2410"/>
              </w:tabs>
              <w:ind w:left="2415"/>
              <w:rPr>
                <w:rFonts w:ascii="Arial" w:hAnsi="Arial" w:cs="Arial"/>
                <w:sz w:val="20"/>
              </w:rPr>
            </w:pPr>
            <w:r>
              <w:rPr>
                <w:rFonts w:ascii="Arial" w:hAnsi="Arial" w:cs="Arial"/>
                <w:sz w:val="20"/>
              </w:rPr>
              <w:t xml:space="preserve">D. </w:t>
            </w:r>
            <w:r w:rsidR="00E06979">
              <w:rPr>
                <w:rFonts w:ascii="Arial" w:hAnsi="Arial" w:cs="Arial"/>
                <w:sz w:val="20"/>
              </w:rPr>
              <w:t>José Luis Cendagorta-Galarza López</w:t>
            </w:r>
          </w:p>
          <w:p w:rsidR="00E06979" w:rsidRDefault="00E06979" w:rsidP="00C116EE">
            <w:pPr>
              <w:tabs>
                <w:tab w:val="left" w:pos="2410"/>
                <w:tab w:val="left" w:pos="2835"/>
              </w:tabs>
              <w:jc w:val="center"/>
              <w:rPr>
                <w:rFonts w:ascii="Arial" w:hAnsi="Arial" w:cs="Arial"/>
                <w:sz w:val="20"/>
              </w:rPr>
            </w:pPr>
            <w:r>
              <w:rPr>
                <w:rFonts w:ascii="Arial" w:hAnsi="Arial" w:cs="Arial"/>
                <w:sz w:val="20"/>
              </w:rPr>
              <w:t xml:space="preserve">Administrador </w:t>
            </w:r>
            <w:r w:rsidR="0083148B">
              <w:rPr>
                <w:rFonts w:ascii="Arial" w:hAnsi="Arial" w:cs="Arial"/>
                <w:sz w:val="20"/>
              </w:rPr>
              <w:t>Único</w:t>
            </w:r>
          </w:p>
          <w:p w:rsidR="00E06979" w:rsidRPr="00632A4D" w:rsidRDefault="00E06979" w:rsidP="000A1CCA">
            <w:pPr>
              <w:pStyle w:val="Ttulo"/>
              <w:rPr>
                <w:rFonts w:ascii="Arial" w:hAnsi="Arial" w:cs="Arial"/>
                <w:b w:val="0"/>
                <w:sz w:val="20"/>
              </w:rPr>
            </w:pPr>
          </w:p>
        </w:tc>
        <w:tc>
          <w:tcPr>
            <w:tcW w:w="93" w:type="pct"/>
            <w:tcBorders>
              <w:top w:val="nil"/>
              <w:bottom w:val="nil"/>
              <w:right w:val="nil"/>
            </w:tcBorders>
            <w:vAlign w:val="bottom"/>
          </w:tcPr>
          <w:p w:rsidR="00E06979" w:rsidRPr="00632A4D" w:rsidRDefault="00E06979" w:rsidP="000A1CCA">
            <w:pPr>
              <w:pStyle w:val="Ttulo"/>
              <w:rPr>
                <w:rFonts w:ascii="Arial" w:hAnsi="Arial" w:cs="Arial"/>
                <w:b w:val="0"/>
                <w:sz w:val="20"/>
              </w:rPr>
            </w:pPr>
          </w:p>
        </w:tc>
      </w:tr>
      <w:tr w:rsidR="00E06979" w:rsidRPr="00042747" w:rsidTr="003872F5">
        <w:trPr>
          <w:trHeight w:val="71"/>
        </w:trPr>
        <w:tc>
          <w:tcPr>
            <w:tcW w:w="4907" w:type="pct"/>
            <w:vAlign w:val="bottom"/>
          </w:tcPr>
          <w:p w:rsidR="00E06979" w:rsidRDefault="00E06979" w:rsidP="000A1CCA">
            <w:pPr>
              <w:tabs>
                <w:tab w:val="left" w:pos="2410"/>
                <w:tab w:val="left" w:pos="2835"/>
              </w:tabs>
              <w:jc w:val="center"/>
              <w:rPr>
                <w:rFonts w:ascii="Arial" w:hAnsi="Arial" w:cs="Arial"/>
                <w:sz w:val="20"/>
              </w:rPr>
            </w:pPr>
          </w:p>
        </w:tc>
        <w:tc>
          <w:tcPr>
            <w:tcW w:w="93" w:type="pct"/>
            <w:tcBorders>
              <w:top w:val="nil"/>
              <w:bottom w:val="nil"/>
              <w:right w:val="nil"/>
            </w:tcBorders>
            <w:vAlign w:val="bottom"/>
          </w:tcPr>
          <w:p w:rsidR="00E06979" w:rsidRPr="00042747" w:rsidRDefault="00E06979" w:rsidP="000A1CCA">
            <w:pPr>
              <w:pStyle w:val="Ttulo"/>
              <w:rPr>
                <w:rFonts w:ascii="Arial" w:hAnsi="Arial" w:cs="Arial"/>
                <w:b w:val="0"/>
                <w:sz w:val="20"/>
                <w:lang w:val="es-ES"/>
              </w:rPr>
            </w:pPr>
          </w:p>
        </w:tc>
      </w:tr>
    </w:tbl>
    <w:p w:rsidR="00E06979" w:rsidRPr="000C1358" w:rsidRDefault="00E06979" w:rsidP="000C1358">
      <w:pPr>
        <w:jc w:val="both"/>
        <w:rPr>
          <w:rFonts w:ascii="Arial" w:hAnsi="Arial" w:cs="Arial"/>
          <w:sz w:val="20"/>
          <w:szCs w:val="20"/>
        </w:rPr>
      </w:pPr>
      <w:r w:rsidRPr="000C1358">
        <w:rPr>
          <w:rFonts w:ascii="Arial" w:hAnsi="Arial" w:cs="Arial"/>
          <w:sz w:val="20"/>
          <w:szCs w:val="20"/>
        </w:rPr>
        <w:t>.</w:t>
      </w:r>
    </w:p>
    <w:p w:rsidR="00E06979" w:rsidRPr="00D81B85" w:rsidRDefault="00E06979" w:rsidP="00D81B85">
      <w:pPr>
        <w:rPr>
          <w:rFonts w:ascii="Arial" w:hAnsi="Arial" w:cs="Arial"/>
          <w:color w:val="000000"/>
          <w:sz w:val="20"/>
          <w:szCs w:val="20"/>
        </w:rPr>
      </w:pPr>
    </w:p>
    <w:sectPr w:rsidR="00E06979" w:rsidRPr="00D81B85" w:rsidSect="006519A5">
      <w:pgSz w:w="11906" w:h="16838" w:code="9"/>
      <w:pgMar w:top="1078"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B18" w:rsidRDefault="00F01B18">
      <w:r>
        <w:separator/>
      </w:r>
    </w:p>
  </w:endnote>
  <w:endnote w:type="continuationSeparator" w:id="0">
    <w:p w:rsidR="00F01B18" w:rsidRDefault="00F01B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Poster">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18" w:rsidRDefault="00F01B1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18" w:rsidRDefault="00F01B18" w:rsidP="000C1358">
    <w:pPr>
      <w:pStyle w:val="Piedepgina"/>
      <w:jc w:val="center"/>
      <w:rPr>
        <w:rFonts w:ascii="Arial" w:hAnsi="Arial" w:cs="Arial"/>
        <w:b/>
        <w:color w:val="FF9900"/>
        <w:sz w:val="16"/>
        <w:szCs w:val="16"/>
      </w:rPr>
    </w:pPr>
    <w:r w:rsidRPr="00A0248A">
      <w:rPr>
        <w:noProof/>
      </w:rPr>
      <w:pict>
        <v:line id="_x0000_s2049" style="position:absolute;left:0;text-align:left;z-index:251660288" from="9pt,2.95pt" to="414pt,2.95pt"/>
      </w:pict>
    </w:r>
  </w:p>
  <w:p w:rsidR="00F01B18" w:rsidRPr="000C1358" w:rsidRDefault="00F01B18" w:rsidP="000C1358">
    <w:pPr>
      <w:pStyle w:val="Piedepgina"/>
      <w:jc w:val="center"/>
      <w:rPr>
        <w:rFonts w:ascii="Arial" w:hAnsi="Arial" w:cs="Arial"/>
        <w:b/>
        <w:color w:val="FF9900"/>
        <w:sz w:val="16"/>
        <w:szCs w:val="16"/>
      </w:rPr>
    </w:pPr>
    <w:r w:rsidRPr="000C1358">
      <w:rPr>
        <w:rFonts w:ascii="Arial" w:hAnsi="Arial" w:cs="Arial"/>
        <w:b/>
        <w:color w:val="FF9900"/>
        <w:sz w:val="16"/>
        <w:szCs w:val="16"/>
      </w:rPr>
      <w:t xml:space="preserve"> </w:t>
    </w:r>
    <w:r w:rsidRPr="000C1358">
      <w:rPr>
        <w:rFonts w:ascii="Arial" w:hAnsi="Arial" w:cs="Arial"/>
        <w:b/>
        <w:color w:val="FF9900"/>
        <w:sz w:val="16"/>
        <w:szCs w:val="16"/>
      </w:rPr>
      <w:fldChar w:fldCharType="begin"/>
    </w:r>
    <w:r w:rsidRPr="000C1358">
      <w:rPr>
        <w:rFonts w:ascii="Arial" w:hAnsi="Arial" w:cs="Arial"/>
        <w:b/>
        <w:color w:val="FF9900"/>
        <w:sz w:val="16"/>
        <w:szCs w:val="16"/>
      </w:rPr>
      <w:instrText xml:space="preserve"> PAGE </w:instrText>
    </w:r>
    <w:r w:rsidRPr="000C1358">
      <w:rPr>
        <w:rFonts w:ascii="Arial" w:hAnsi="Arial" w:cs="Arial"/>
        <w:b/>
        <w:color w:val="FF9900"/>
        <w:sz w:val="16"/>
        <w:szCs w:val="16"/>
      </w:rPr>
      <w:fldChar w:fldCharType="separate"/>
    </w:r>
    <w:r w:rsidR="00C7550B">
      <w:rPr>
        <w:rFonts w:ascii="Arial" w:hAnsi="Arial" w:cs="Arial"/>
        <w:b/>
        <w:noProof/>
        <w:color w:val="FF9900"/>
        <w:sz w:val="16"/>
        <w:szCs w:val="16"/>
      </w:rPr>
      <w:t>13</w:t>
    </w:r>
    <w:r w:rsidRPr="000C1358">
      <w:rPr>
        <w:rFonts w:ascii="Arial" w:hAnsi="Arial" w:cs="Arial"/>
        <w:b/>
        <w:color w:val="FF9900"/>
        <w:sz w:val="16"/>
        <w:szCs w:val="16"/>
      </w:rPr>
      <w:fldChar w:fldCharType="end"/>
    </w:r>
    <w:r w:rsidRPr="000C1358">
      <w:rPr>
        <w:rFonts w:ascii="Arial" w:hAnsi="Arial" w:cs="Arial"/>
        <w:b/>
        <w:color w:val="FF9900"/>
        <w:sz w:val="16"/>
        <w:szCs w:val="16"/>
      </w:rPr>
      <w:t xml:space="preserve"> </w:t>
    </w:r>
  </w:p>
  <w:p w:rsidR="00F01B18" w:rsidRPr="000C1358" w:rsidRDefault="00F01B18" w:rsidP="000C1358">
    <w:pPr>
      <w:pStyle w:val="Piedepgina"/>
      <w:jc w:val="center"/>
      <w:rPr>
        <w:rFonts w:ascii="Arial" w:hAnsi="Arial" w:cs="Arial"/>
        <w:b/>
        <w:color w:val="FF9900"/>
        <w:sz w:val="16"/>
        <w:szCs w:val="16"/>
      </w:rPr>
    </w:pPr>
    <w:r>
      <w:rPr>
        <w:rFonts w:ascii="Arial" w:hAnsi="Arial" w:cs="Arial"/>
        <w:b/>
        <w:color w:val="FF9900"/>
        <w:sz w:val="16"/>
        <w:szCs w:val="16"/>
      </w:rPr>
      <w:t>Memoria abreviada 2016</w:t>
    </w:r>
    <w:r w:rsidRPr="000C1358">
      <w:rPr>
        <w:rFonts w:ascii="Arial" w:hAnsi="Arial" w:cs="Arial"/>
        <w:b/>
        <w:color w:val="FF9900"/>
        <w:sz w:val="16"/>
        <w:szCs w:val="16"/>
      </w:rPr>
      <w:t xml:space="preserve"> – </w:t>
    </w:r>
    <w:proofErr w:type="spellStart"/>
    <w:r>
      <w:rPr>
        <w:rFonts w:ascii="Arial" w:hAnsi="Arial" w:cs="Arial"/>
        <w:b/>
        <w:color w:val="FF9900"/>
        <w:sz w:val="16"/>
        <w:szCs w:val="16"/>
      </w:rPr>
      <w:t>Canalink</w:t>
    </w:r>
    <w:proofErr w:type="spellEnd"/>
    <w:r>
      <w:rPr>
        <w:rFonts w:ascii="Arial" w:hAnsi="Arial" w:cs="Arial"/>
        <w:b/>
        <w:color w:val="FF9900"/>
        <w:sz w:val="16"/>
        <w:szCs w:val="16"/>
      </w:rPr>
      <w:t xml:space="preserve"> África, SL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18" w:rsidRDefault="00F01B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B18" w:rsidRDefault="00F01B18">
      <w:r>
        <w:separator/>
      </w:r>
    </w:p>
  </w:footnote>
  <w:footnote w:type="continuationSeparator" w:id="0">
    <w:p w:rsidR="00F01B18" w:rsidRDefault="00F01B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18" w:rsidRDefault="00F01B1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18" w:rsidRDefault="00F01B1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B18" w:rsidRDefault="00F01B1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5B36581"/>
    <w:multiLevelType w:val="hybridMultilevel"/>
    <w:tmpl w:val="7F1CB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525512"/>
    <w:multiLevelType w:val="hybridMultilevel"/>
    <w:tmpl w:val="F17E1838"/>
    <w:lvl w:ilvl="0" w:tplc="39A0105C">
      <w:start w:val="4"/>
      <w:numFmt w:val="upperLetter"/>
      <w:lvlText w:val="%1."/>
      <w:lvlJc w:val="left"/>
      <w:pPr>
        <w:tabs>
          <w:tab w:val="num" w:pos="2835"/>
        </w:tabs>
        <w:ind w:left="2835" w:hanging="420"/>
      </w:pPr>
      <w:rPr>
        <w:rFonts w:cs="Times New Roman" w:hint="default"/>
      </w:rPr>
    </w:lvl>
    <w:lvl w:ilvl="1" w:tplc="0C0A0019">
      <w:start w:val="1"/>
      <w:numFmt w:val="lowerLetter"/>
      <w:lvlText w:val="%2."/>
      <w:lvlJc w:val="left"/>
      <w:pPr>
        <w:tabs>
          <w:tab w:val="num" w:pos="3495"/>
        </w:tabs>
        <w:ind w:left="3495" w:hanging="360"/>
      </w:pPr>
      <w:rPr>
        <w:rFonts w:cs="Times New Roman"/>
      </w:rPr>
    </w:lvl>
    <w:lvl w:ilvl="2" w:tplc="0C0A001B" w:tentative="1">
      <w:start w:val="1"/>
      <w:numFmt w:val="lowerRoman"/>
      <w:lvlText w:val="%3."/>
      <w:lvlJc w:val="right"/>
      <w:pPr>
        <w:tabs>
          <w:tab w:val="num" w:pos="4215"/>
        </w:tabs>
        <w:ind w:left="4215" w:hanging="180"/>
      </w:pPr>
      <w:rPr>
        <w:rFonts w:cs="Times New Roman"/>
      </w:rPr>
    </w:lvl>
    <w:lvl w:ilvl="3" w:tplc="0C0A000F" w:tentative="1">
      <w:start w:val="1"/>
      <w:numFmt w:val="decimal"/>
      <w:lvlText w:val="%4."/>
      <w:lvlJc w:val="left"/>
      <w:pPr>
        <w:tabs>
          <w:tab w:val="num" w:pos="4935"/>
        </w:tabs>
        <w:ind w:left="4935" w:hanging="360"/>
      </w:pPr>
      <w:rPr>
        <w:rFonts w:cs="Times New Roman"/>
      </w:rPr>
    </w:lvl>
    <w:lvl w:ilvl="4" w:tplc="0C0A0019" w:tentative="1">
      <w:start w:val="1"/>
      <w:numFmt w:val="lowerLetter"/>
      <w:lvlText w:val="%5."/>
      <w:lvlJc w:val="left"/>
      <w:pPr>
        <w:tabs>
          <w:tab w:val="num" w:pos="5655"/>
        </w:tabs>
        <w:ind w:left="5655" w:hanging="360"/>
      </w:pPr>
      <w:rPr>
        <w:rFonts w:cs="Times New Roman"/>
      </w:rPr>
    </w:lvl>
    <w:lvl w:ilvl="5" w:tplc="0C0A001B" w:tentative="1">
      <w:start w:val="1"/>
      <w:numFmt w:val="lowerRoman"/>
      <w:lvlText w:val="%6."/>
      <w:lvlJc w:val="right"/>
      <w:pPr>
        <w:tabs>
          <w:tab w:val="num" w:pos="6375"/>
        </w:tabs>
        <w:ind w:left="6375" w:hanging="180"/>
      </w:pPr>
      <w:rPr>
        <w:rFonts w:cs="Times New Roman"/>
      </w:rPr>
    </w:lvl>
    <w:lvl w:ilvl="6" w:tplc="0C0A000F" w:tentative="1">
      <w:start w:val="1"/>
      <w:numFmt w:val="decimal"/>
      <w:lvlText w:val="%7."/>
      <w:lvlJc w:val="left"/>
      <w:pPr>
        <w:tabs>
          <w:tab w:val="num" w:pos="7095"/>
        </w:tabs>
        <w:ind w:left="7095" w:hanging="360"/>
      </w:pPr>
      <w:rPr>
        <w:rFonts w:cs="Times New Roman"/>
      </w:rPr>
    </w:lvl>
    <w:lvl w:ilvl="7" w:tplc="0C0A0019" w:tentative="1">
      <w:start w:val="1"/>
      <w:numFmt w:val="lowerLetter"/>
      <w:lvlText w:val="%8."/>
      <w:lvlJc w:val="left"/>
      <w:pPr>
        <w:tabs>
          <w:tab w:val="num" w:pos="7815"/>
        </w:tabs>
        <w:ind w:left="7815" w:hanging="360"/>
      </w:pPr>
      <w:rPr>
        <w:rFonts w:cs="Times New Roman"/>
      </w:rPr>
    </w:lvl>
    <w:lvl w:ilvl="8" w:tplc="0C0A001B" w:tentative="1">
      <w:start w:val="1"/>
      <w:numFmt w:val="lowerRoman"/>
      <w:lvlText w:val="%9."/>
      <w:lvlJc w:val="right"/>
      <w:pPr>
        <w:tabs>
          <w:tab w:val="num" w:pos="8535"/>
        </w:tabs>
        <w:ind w:left="8535" w:hanging="180"/>
      </w:pPr>
      <w:rPr>
        <w:rFonts w:cs="Times New Roman"/>
      </w:rPr>
    </w:lvl>
  </w:abstractNum>
  <w:abstractNum w:abstractNumId="3">
    <w:nsid w:val="17F53C62"/>
    <w:multiLevelType w:val="hybridMultilevel"/>
    <w:tmpl w:val="B53689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F16AAA"/>
    <w:multiLevelType w:val="hybridMultilevel"/>
    <w:tmpl w:val="83F0FF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37910A7"/>
    <w:multiLevelType w:val="hybridMultilevel"/>
    <w:tmpl w:val="A1688DA4"/>
    <w:lvl w:ilvl="0" w:tplc="0908D068">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DB82FFC"/>
    <w:multiLevelType w:val="hybridMultilevel"/>
    <w:tmpl w:val="898652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3EF2772"/>
    <w:multiLevelType w:val="hybridMultilevel"/>
    <w:tmpl w:val="F0A0DCB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A74075D"/>
    <w:multiLevelType w:val="hybridMultilevel"/>
    <w:tmpl w:val="71C4F4A6"/>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1506"/>
        </w:tabs>
        <w:ind w:left="1506" w:hanging="360"/>
      </w:pPr>
      <w:rPr>
        <w:rFonts w:ascii="Courier New" w:hAnsi="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9">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5DED1A21"/>
    <w:multiLevelType w:val="hybridMultilevel"/>
    <w:tmpl w:val="B53689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04F12D5"/>
    <w:multiLevelType w:val="hybridMultilevel"/>
    <w:tmpl w:val="ECE6F5C0"/>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tentative="1">
      <w:start w:val="1"/>
      <w:numFmt w:val="bullet"/>
      <w:lvlText w:val="o"/>
      <w:lvlJc w:val="left"/>
      <w:pPr>
        <w:tabs>
          <w:tab w:val="num" w:pos="3099"/>
        </w:tabs>
        <w:ind w:left="3099" w:hanging="360"/>
      </w:pPr>
      <w:rPr>
        <w:rFonts w:ascii="Courier New" w:hAnsi="Courier New" w:hint="default"/>
      </w:rPr>
    </w:lvl>
    <w:lvl w:ilvl="5" w:tplc="0C0A0005" w:tentative="1">
      <w:start w:val="1"/>
      <w:numFmt w:val="bullet"/>
      <w:lvlText w:val=""/>
      <w:lvlJc w:val="left"/>
      <w:pPr>
        <w:tabs>
          <w:tab w:val="num" w:pos="3819"/>
        </w:tabs>
        <w:ind w:left="3819" w:hanging="360"/>
      </w:pPr>
      <w:rPr>
        <w:rFonts w:ascii="Wingdings" w:hAnsi="Wingdings" w:hint="default"/>
      </w:rPr>
    </w:lvl>
    <w:lvl w:ilvl="6" w:tplc="0C0A0001" w:tentative="1">
      <w:start w:val="1"/>
      <w:numFmt w:val="bullet"/>
      <w:lvlText w:val=""/>
      <w:lvlJc w:val="left"/>
      <w:pPr>
        <w:tabs>
          <w:tab w:val="num" w:pos="4539"/>
        </w:tabs>
        <w:ind w:left="4539" w:hanging="360"/>
      </w:pPr>
      <w:rPr>
        <w:rFonts w:ascii="Symbol" w:hAnsi="Symbol" w:hint="default"/>
      </w:rPr>
    </w:lvl>
    <w:lvl w:ilvl="7" w:tplc="0C0A0003" w:tentative="1">
      <w:start w:val="1"/>
      <w:numFmt w:val="bullet"/>
      <w:lvlText w:val="o"/>
      <w:lvlJc w:val="left"/>
      <w:pPr>
        <w:tabs>
          <w:tab w:val="num" w:pos="5259"/>
        </w:tabs>
        <w:ind w:left="5259" w:hanging="360"/>
      </w:pPr>
      <w:rPr>
        <w:rFonts w:ascii="Courier New" w:hAnsi="Courier New" w:hint="default"/>
      </w:rPr>
    </w:lvl>
    <w:lvl w:ilvl="8" w:tplc="0C0A0005" w:tentative="1">
      <w:start w:val="1"/>
      <w:numFmt w:val="bullet"/>
      <w:lvlText w:val=""/>
      <w:lvlJc w:val="left"/>
      <w:pPr>
        <w:tabs>
          <w:tab w:val="num" w:pos="5979"/>
        </w:tabs>
        <w:ind w:left="5979" w:hanging="360"/>
      </w:pPr>
      <w:rPr>
        <w:rFonts w:ascii="Wingdings" w:hAnsi="Wingdings" w:hint="default"/>
      </w:rPr>
    </w:lvl>
  </w:abstractNum>
  <w:abstractNum w:abstractNumId="12">
    <w:nsid w:val="64044B06"/>
    <w:multiLevelType w:val="hybridMultilevel"/>
    <w:tmpl w:val="DA44EE98"/>
    <w:lvl w:ilvl="0" w:tplc="19264DB8">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6AB91028"/>
    <w:multiLevelType w:val="hybridMultilevel"/>
    <w:tmpl w:val="FAF42DB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BD0594A"/>
    <w:multiLevelType w:val="hybridMultilevel"/>
    <w:tmpl w:val="232215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tentative="1">
      <w:start w:val="1"/>
      <w:numFmt w:val="bullet"/>
      <w:lvlText w:val="o"/>
      <w:lvlJc w:val="left"/>
      <w:pPr>
        <w:tabs>
          <w:tab w:val="num" w:pos="2722"/>
        </w:tabs>
        <w:ind w:left="2722" w:hanging="360"/>
      </w:pPr>
      <w:rPr>
        <w:rFonts w:ascii="Courier New" w:hAnsi="Courier New" w:hint="default"/>
      </w:rPr>
    </w:lvl>
    <w:lvl w:ilvl="5" w:tplc="0C0A0005" w:tentative="1">
      <w:start w:val="1"/>
      <w:numFmt w:val="bullet"/>
      <w:lvlText w:val=""/>
      <w:lvlJc w:val="left"/>
      <w:pPr>
        <w:tabs>
          <w:tab w:val="num" w:pos="3442"/>
        </w:tabs>
        <w:ind w:left="3442" w:hanging="360"/>
      </w:pPr>
      <w:rPr>
        <w:rFonts w:ascii="Wingdings" w:hAnsi="Wingdings" w:hint="default"/>
      </w:rPr>
    </w:lvl>
    <w:lvl w:ilvl="6" w:tplc="0C0A0001" w:tentative="1">
      <w:start w:val="1"/>
      <w:numFmt w:val="bullet"/>
      <w:lvlText w:val=""/>
      <w:lvlJc w:val="left"/>
      <w:pPr>
        <w:tabs>
          <w:tab w:val="num" w:pos="4162"/>
        </w:tabs>
        <w:ind w:left="4162" w:hanging="360"/>
      </w:pPr>
      <w:rPr>
        <w:rFonts w:ascii="Symbol" w:hAnsi="Symbol" w:hint="default"/>
      </w:rPr>
    </w:lvl>
    <w:lvl w:ilvl="7" w:tplc="0C0A0003" w:tentative="1">
      <w:start w:val="1"/>
      <w:numFmt w:val="bullet"/>
      <w:lvlText w:val="o"/>
      <w:lvlJc w:val="left"/>
      <w:pPr>
        <w:tabs>
          <w:tab w:val="num" w:pos="4882"/>
        </w:tabs>
        <w:ind w:left="4882" w:hanging="360"/>
      </w:pPr>
      <w:rPr>
        <w:rFonts w:ascii="Courier New" w:hAnsi="Courier New" w:hint="default"/>
      </w:rPr>
    </w:lvl>
    <w:lvl w:ilvl="8" w:tplc="0C0A0005" w:tentative="1">
      <w:start w:val="1"/>
      <w:numFmt w:val="bullet"/>
      <w:lvlText w:val=""/>
      <w:lvlJc w:val="left"/>
      <w:pPr>
        <w:tabs>
          <w:tab w:val="num" w:pos="5602"/>
        </w:tabs>
        <w:ind w:left="5602" w:hanging="360"/>
      </w:pPr>
      <w:rPr>
        <w:rFonts w:ascii="Wingdings" w:hAnsi="Wingdings" w:hint="default"/>
      </w:rPr>
    </w:lvl>
  </w:abstractNum>
  <w:num w:numId="1">
    <w:abstractNumId w:val="2"/>
  </w:num>
  <w:num w:numId="2">
    <w:abstractNumId w:val="5"/>
  </w:num>
  <w:num w:numId="3">
    <w:abstractNumId w:val="8"/>
  </w:num>
  <w:num w:numId="4">
    <w:abstractNumId w:val="11"/>
  </w:num>
  <w:num w:numId="5">
    <w:abstractNumId w:val="9"/>
  </w:num>
  <w:num w:numId="6">
    <w:abstractNumId w:val="12"/>
  </w:num>
  <w:num w:numId="7">
    <w:abstractNumId w:val="15"/>
  </w:num>
  <w:num w:numId="8">
    <w:abstractNumId w:val="4"/>
  </w:num>
  <w:num w:numId="9">
    <w:abstractNumId w:val="6"/>
  </w:num>
  <w:num w:numId="10">
    <w:abstractNumId w:val="14"/>
  </w:num>
  <w:num w:numId="11">
    <w:abstractNumId w:val="0"/>
  </w:num>
  <w:num w:numId="12">
    <w:abstractNumId w:val="7"/>
  </w:num>
  <w:num w:numId="13">
    <w:abstractNumId w:val="1"/>
  </w:num>
  <w:num w:numId="14">
    <w:abstractNumId w:val="3"/>
  </w:num>
  <w:num w:numId="15">
    <w:abstractNumId w:val="10"/>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4960"/>
    <w:rsid w:val="00021277"/>
    <w:rsid w:val="000223E7"/>
    <w:rsid w:val="00023B6E"/>
    <w:rsid w:val="00025F3C"/>
    <w:rsid w:val="000267A0"/>
    <w:rsid w:val="00040051"/>
    <w:rsid w:val="00041772"/>
    <w:rsid w:val="00041DC0"/>
    <w:rsid w:val="00042747"/>
    <w:rsid w:val="000507C6"/>
    <w:rsid w:val="00075C57"/>
    <w:rsid w:val="000849AC"/>
    <w:rsid w:val="0008540A"/>
    <w:rsid w:val="00090A77"/>
    <w:rsid w:val="000929DC"/>
    <w:rsid w:val="00092BE2"/>
    <w:rsid w:val="00094465"/>
    <w:rsid w:val="000A1CCA"/>
    <w:rsid w:val="000A2113"/>
    <w:rsid w:val="000B3C4B"/>
    <w:rsid w:val="000C1358"/>
    <w:rsid w:val="000E28C5"/>
    <w:rsid w:val="000E6C31"/>
    <w:rsid w:val="00110299"/>
    <w:rsid w:val="001143A1"/>
    <w:rsid w:val="0012594D"/>
    <w:rsid w:val="001277AB"/>
    <w:rsid w:val="00130B62"/>
    <w:rsid w:val="00153B9D"/>
    <w:rsid w:val="00153C95"/>
    <w:rsid w:val="001838BF"/>
    <w:rsid w:val="0018782F"/>
    <w:rsid w:val="001903DA"/>
    <w:rsid w:val="001F04ED"/>
    <w:rsid w:val="001F2623"/>
    <w:rsid w:val="00200AF1"/>
    <w:rsid w:val="00200FED"/>
    <w:rsid w:val="00212D03"/>
    <w:rsid w:val="002244C4"/>
    <w:rsid w:val="002329EE"/>
    <w:rsid w:val="002346DA"/>
    <w:rsid w:val="002454E5"/>
    <w:rsid w:val="00251A1A"/>
    <w:rsid w:val="00254E97"/>
    <w:rsid w:val="002565D3"/>
    <w:rsid w:val="00261722"/>
    <w:rsid w:val="00261A5A"/>
    <w:rsid w:val="00267EE4"/>
    <w:rsid w:val="00276ECE"/>
    <w:rsid w:val="00286AD2"/>
    <w:rsid w:val="00286E73"/>
    <w:rsid w:val="002879D8"/>
    <w:rsid w:val="00287E4D"/>
    <w:rsid w:val="002D0D07"/>
    <w:rsid w:val="002E1C68"/>
    <w:rsid w:val="002E2FE2"/>
    <w:rsid w:val="002E59B3"/>
    <w:rsid w:val="002F1FB2"/>
    <w:rsid w:val="0030235B"/>
    <w:rsid w:val="003139F4"/>
    <w:rsid w:val="00320D7C"/>
    <w:rsid w:val="003276CF"/>
    <w:rsid w:val="00327FFB"/>
    <w:rsid w:val="0033382B"/>
    <w:rsid w:val="00342343"/>
    <w:rsid w:val="00362318"/>
    <w:rsid w:val="00380FC3"/>
    <w:rsid w:val="00381FA8"/>
    <w:rsid w:val="003872F5"/>
    <w:rsid w:val="00387AF4"/>
    <w:rsid w:val="00396BF4"/>
    <w:rsid w:val="003B0397"/>
    <w:rsid w:val="003D1FA3"/>
    <w:rsid w:val="003D3005"/>
    <w:rsid w:val="003D38C1"/>
    <w:rsid w:val="003E5DB9"/>
    <w:rsid w:val="00412629"/>
    <w:rsid w:val="004179A7"/>
    <w:rsid w:val="00422F79"/>
    <w:rsid w:val="00425AED"/>
    <w:rsid w:val="0044058E"/>
    <w:rsid w:val="0045138D"/>
    <w:rsid w:val="00454CFB"/>
    <w:rsid w:val="0046301F"/>
    <w:rsid w:val="0047049F"/>
    <w:rsid w:val="0047799B"/>
    <w:rsid w:val="00483510"/>
    <w:rsid w:val="004933D8"/>
    <w:rsid w:val="004955CD"/>
    <w:rsid w:val="004A36A6"/>
    <w:rsid w:val="004B1B12"/>
    <w:rsid w:val="004B70CB"/>
    <w:rsid w:val="004C6A27"/>
    <w:rsid w:val="004E6502"/>
    <w:rsid w:val="00504393"/>
    <w:rsid w:val="00514974"/>
    <w:rsid w:val="00526F2B"/>
    <w:rsid w:val="00530F48"/>
    <w:rsid w:val="00532D89"/>
    <w:rsid w:val="00535719"/>
    <w:rsid w:val="00536976"/>
    <w:rsid w:val="0055180E"/>
    <w:rsid w:val="00554824"/>
    <w:rsid w:val="005569DD"/>
    <w:rsid w:val="005915A0"/>
    <w:rsid w:val="005A1568"/>
    <w:rsid w:val="005A5014"/>
    <w:rsid w:val="005C552C"/>
    <w:rsid w:val="005D1B5E"/>
    <w:rsid w:val="005E2418"/>
    <w:rsid w:val="005F3252"/>
    <w:rsid w:val="005F5DA2"/>
    <w:rsid w:val="00601FAD"/>
    <w:rsid w:val="00606E37"/>
    <w:rsid w:val="006078BF"/>
    <w:rsid w:val="0061176D"/>
    <w:rsid w:val="0061599C"/>
    <w:rsid w:val="00621CC3"/>
    <w:rsid w:val="00631005"/>
    <w:rsid w:val="00632A4D"/>
    <w:rsid w:val="00634340"/>
    <w:rsid w:val="006428EC"/>
    <w:rsid w:val="0064785F"/>
    <w:rsid w:val="006519A5"/>
    <w:rsid w:val="006520F0"/>
    <w:rsid w:val="006671B9"/>
    <w:rsid w:val="006678F3"/>
    <w:rsid w:val="006771E8"/>
    <w:rsid w:val="00684FD1"/>
    <w:rsid w:val="00686374"/>
    <w:rsid w:val="0068765C"/>
    <w:rsid w:val="006876CD"/>
    <w:rsid w:val="00687E4E"/>
    <w:rsid w:val="006A7E2D"/>
    <w:rsid w:val="006B20BC"/>
    <w:rsid w:val="006B7FCB"/>
    <w:rsid w:val="006C372E"/>
    <w:rsid w:val="006D1919"/>
    <w:rsid w:val="006E4D23"/>
    <w:rsid w:val="00705962"/>
    <w:rsid w:val="00733674"/>
    <w:rsid w:val="00734F44"/>
    <w:rsid w:val="007436A3"/>
    <w:rsid w:val="00744535"/>
    <w:rsid w:val="0074493C"/>
    <w:rsid w:val="00744E17"/>
    <w:rsid w:val="00746950"/>
    <w:rsid w:val="00752994"/>
    <w:rsid w:val="007558D3"/>
    <w:rsid w:val="00766700"/>
    <w:rsid w:val="00767EBE"/>
    <w:rsid w:val="00770F12"/>
    <w:rsid w:val="007730A6"/>
    <w:rsid w:val="007772D4"/>
    <w:rsid w:val="00781286"/>
    <w:rsid w:val="00785044"/>
    <w:rsid w:val="007A164B"/>
    <w:rsid w:val="007A425C"/>
    <w:rsid w:val="007A74A8"/>
    <w:rsid w:val="007B25B8"/>
    <w:rsid w:val="007B6346"/>
    <w:rsid w:val="007D15E4"/>
    <w:rsid w:val="007D649B"/>
    <w:rsid w:val="007E4E51"/>
    <w:rsid w:val="007F67CB"/>
    <w:rsid w:val="00800E05"/>
    <w:rsid w:val="008162EE"/>
    <w:rsid w:val="00817542"/>
    <w:rsid w:val="00820539"/>
    <w:rsid w:val="008212EE"/>
    <w:rsid w:val="0082666F"/>
    <w:rsid w:val="00830C58"/>
    <w:rsid w:val="0083148B"/>
    <w:rsid w:val="00835C87"/>
    <w:rsid w:val="00836A88"/>
    <w:rsid w:val="0084164C"/>
    <w:rsid w:val="0085797E"/>
    <w:rsid w:val="0086054C"/>
    <w:rsid w:val="00863E9C"/>
    <w:rsid w:val="00864F6B"/>
    <w:rsid w:val="00867F84"/>
    <w:rsid w:val="008708CF"/>
    <w:rsid w:val="00872A6F"/>
    <w:rsid w:val="00891000"/>
    <w:rsid w:val="0089337E"/>
    <w:rsid w:val="0089463A"/>
    <w:rsid w:val="008B69D8"/>
    <w:rsid w:val="008C75DC"/>
    <w:rsid w:val="008C7A40"/>
    <w:rsid w:val="00904AA4"/>
    <w:rsid w:val="0091718D"/>
    <w:rsid w:val="00925BA6"/>
    <w:rsid w:val="00951AE6"/>
    <w:rsid w:val="00966348"/>
    <w:rsid w:val="00973705"/>
    <w:rsid w:val="009A2478"/>
    <w:rsid w:val="009A4E6C"/>
    <w:rsid w:val="009B061B"/>
    <w:rsid w:val="009C0631"/>
    <w:rsid w:val="009D0559"/>
    <w:rsid w:val="009D7D65"/>
    <w:rsid w:val="009F3B5D"/>
    <w:rsid w:val="009F3E11"/>
    <w:rsid w:val="009F683A"/>
    <w:rsid w:val="00A0248A"/>
    <w:rsid w:val="00A150D1"/>
    <w:rsid w:val="00A16C5B"/>
    <w:rsid w:val="00A26319"/>
    <w:rsid w:val="00A3134C"/>
    <w:rsid w:val="00A33181"/>
    <w:rsid w:val="00A4020B"/>
    <w:rsid w:val="00A46C43"/>
    <w:rsid w:val="00A50740"/>
    <w:rsid w:val="00A56E2C"/>
    <w:rsid w:val="00A62F79"/>
    <w:rsid w:val="00A632C3"/>
    <w:rsid w:val="00A92CEB"/>
    <w:rsid w:val="00AA4540"/>
    <w:rsid w:val="00AA459F"/>
    <w:rsid w:val="00AA762E"/>
    <w:rsid w:val="00AD29F3"/>
    <w:rsid w:val="00AF1B91"/>
    <w:rsid w:val="00AF603C"/>
    <w:rsid w:val="00AF6211"/>
    <w:rsid w:val="00B069AC"/>
    <w:rsid w:val="00B13DE8"/>
    <w:rsid w:val="00B16D53"/>
    <w:rsid w:val="00B45522"/>
    <w:rsid w:val="00B5114C"/>
    <w:rsid w:val="00B55FB9"/>
    <w:rsid w:val="00B57888"/>
    <w:rsid w:val="00B84487"/>
    <w:rsid w:val="00B95F85"/>
    <w:rsid w:val="00BA3CF7"/>
    <w:rsid w:val="00BA58AB"/>
    <w:rsid w:val="00BB2D39"/>
    <w:rsid w:val="00BB4865"/>
    <w:rsid w:val="00BB5E12"/>
    <w:rsid w:val="00BB5E5F"/>
    <w:rsid w:val="00BD3D6B"/>
    <w:rsid w:val="00BD5A05"/>
    <w:rsid w:val="00BD710F"/>
    <w:rsid w:val="00BE0D3A"/>
    <w:rsid w:val="00BE4C14"/>
    <w:rsid w:val="00C0418B"/>
    <w:rsid w:val="00C06927"/>
    <w:rsid w:val="00C116EE"/>
    <w:rsid w:val="00C366EE"/>
    <w:rsid w:val="00C5078C"/>
    <w:rsid w:val="00C50DB3"/>
    <w:rsid w:val="00C53D2A"/>
    <w:rsid w:val="00C7550B"/>
    <w:rsid w:val="00C86210"/>
    <w:rsid w:val="00C8794D"/>
    <w:rsid w:val="00C90B78"/>
    <w:rsid w:val="00C90EB3"/>
    <w:rsid w:val="00C91119"/>
    <w:rsid w:val="00C920E4"/>
    <w:rsid w:val="00CC4960"/>
    <w:rsid w:val="00CC4A0E"/>
    <w:rsid w:val="00CD0DA1"/>
    <w:rsid w:val="00CE2FB3"/>
    <w:rsid w:val="00CF458A"/>
    <w:rsid w:val="00D011EC"/>
    <w:rsid w:val="00D02DE1"/>
    <w:rsid w:val="00D124E3"/>
    <w:rsid w:val="00D12CAC"/>
    <w:rsid w:val="00D21AE8"/>
    <w:rsid w:val="00D34E25"/>
    <w:rsid w:val="00D45D24"/>
    <w:rsid w:val="00D51524"/>
    <w:rsid w:val="00D552EE"/>
    <w:rsid w:val="00D576D8"/>
    <w:rsid w:val="00D66C00"/>
    <w:rsid w:val="00D77835"/>
    <w:rsid w:val="00D81B85"/>
    <w:rsid w:val="00DA1D5C"/>
    <w:rsid w:val="00DA2F12"/>
    <w:rsid w:val="00DD1FCD"/>
    <w:rsid w:val="00DD34A5"/>
    <w:rsid w:val="00DD4CF5"/>
    <w:rsid w:val="00DE5A8A"/>
    <w:rsid w:val="00DE7A6D"/>
    <w:rsid w:val="00DF1763"/>
    <w:rsid w:val="00E01948"/>
    <w:rsid w:val="00E06979"/>
    <w:rsid w:val="00E24DE3"/>
    <w:rsid w:val="00E2520C"/>
    <w:rsid w:val="00E420E9"/>
    <w:rsid w:val="00E460C4"/>
    <w:rsid w:val="00E645CB"/>
    <w:rsid w:val="00ED2C13"/>
    <w:rsid w:val="00ED66B4"/>
    <w:rsid w:val="00EE0CFE"/>
    <w:rsid w:val="00EF3D30"/>
    <w:rsid w:val="00F001C3"/>
    <w:rsid w:val="00F01B18"/>
    <w:rsid w:val="00F112D6"/>
    <w:rsid w:val="00F14DF0"/>
    <w:rsid w:val="00F372A7"/>
    <w:rsid w:val="00F5386F"/>
    <w:rsid w:val="00F72240"/>
    <w:rsid w:val="00F73F66"/>
    <w:rsid w:val="00F84F4C"/>
    <w:rsid w:val="00FA34DF"/>
    <w:rsid w:val="00FA39DF"/>
    <w:rsid w:val="00FA4A07"/>
    <w:rsid w:val="00FA51BC"/>
    <w:rsid w:val="00FB5366"/>
    <w:rsid w:val="00FC3902"/>
    <w:rsid w:val="00FC4C3F"/>
    <w:rsid w:val="00FD569F"/>
    <w:rsid w:val="00FE2733"/>
    <w:rsid w:val="00FE360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9D8"/>
    <w:rPr>
      <w:sz w:val="24"/>
      <w:szCs w:val="24"/>
    </w:rPr>
  </w:style>
  <w:style w:type="paragraph" w:styleId="Ttulo1">
    <w:name w:val="heading 1"/>
    <w:basedOn w:val="Normal"/>
    <w:next w:val="Normal"/>
    <w:link w:val="Ttulo1Car"/>
    <w:uiPriority w:val="99"/>
    <w:qFormat/>
    <w:rsid w:val="00C53D2A"/>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locked/>
    <w:rsid w:val="00454CFB"/>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C53D2A"/>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86210"/>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68765C"/>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C86210"/>
    <w:rPr>
      <w:rFonts w:ascii="Cambria" w:hAnsi="Cambria" w:cs="Times New Roman"/>
      <w:b/>
      <w:bCs/>
      <w:sz w:val="26"/>
      <w:szCs w:val="26"/>
    </w:rPr>
  </w:style>
  <w:style w:type="paragraph" w:styleId="Textoindependiente">
    <w:name w:val="Body Text"/>
    <w:basedOn w:val="Normal"/>
    <w:link w:val="TextoindependienteCar"/>
    <w:uiPriority w:val="99"/>
    <w:rsid w:val="00C53D2A"/>
    <w:pPr>
      <w:jc w:val="right"/>
    </w:pPr>
    <w:rPr>
      <w:rFonts w:ascii="Arial" w:hAnsi="Arial"/>
      <w:b/>
      <w:sz w:val="48"/>
      <w:szCs w:val="20"/>
    </w:rPr>
  </w:style>
  <w:style w:type="character" w:customStyle="1" w:styleId="TextoindependienteCar">
    <w:name w:val="Texto independiente Car"/>
    <w:basedOn w:val="Fuentedeprrafopredeter"/>
    <w:link w:val="Textoindependiente"/>
    <w:uiPriority w:val="99"/>
    <w:semiHidden/>
    <w:locked/>
    <w:rsid w:val="00C86210"/>
    <w:rPr>
      <w:rFonts w:cs="Times New Roman"/>
      <w:sz w:val="24"/>
      <w:szCs w:val="24"/>
    </w:rPr>
  </w:style>
  <w:style w:type="paragraph" w:styleId="Ttulo">
    <w:name w:val="Title"/>
    <w:basedOn w:val="Normal"/>
    <w:link w:val="TtuloCar"/>
    <w:uiPriority w:val="99"/>
    <w:qFormat/>
    <w:rsid w:val="000C1358"/>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C86210"/>
    <w:rPr>
      <w:rFonts w:ascii="Cambria" w:hAnsi="Cambria" w:cs="Times New Roman"/>
      <w:b/>
      <w:bCs/>
      <w:kern w:val="28"/>
      <w:sz w:val="32"/>
      <w:szCs w:val="32"/>
    </w:rPr>
  </w:style>
  <w:style w:type="paragraph" w:styleId="Encabezado">
    <w:name w:val="header"/>
    <w:basedOn w:val="Normal"/>
    <w:link w:val="EncabezadoCar"/>
    <w:uiPriority w:val="99"/>
    <w:rsid w:val="000C1358"/>
    <w:pPr>
      <w:tabs>
        <w:tab w:val="center" w:pos="4252"/>
        <w:tab w:val="right" w:pos="8504"/>
      </w:tabs>
    </w:pPr>
  </w:style>
  <w:style w:type="character" w:customStyle="1" w:styleId="EncabezadoCar">
    <w:name w:val="Encabezado Car"/>
    <w:basedOn w:val="Fuentedeprrafopredeter"/>
    <w:link w:val="Encabezado"/>
    <w:uiPriority w:val="99"/>
    <w:semiHidden/>
    <w:locked/>
    <w:rsid w:val="00C86210"/>
    <w:rPr>
      <w:rFonts w:cs="Times New Roman"/>
      <w:sz w:val="24"/>
      <w:szCs w:val="24"/>
    </w:rPr>
  </w:style>
  <w:style w:type="paragraph" w:styleId="Piedepgina">
    <w:name w:val="footer"/>
    <w:basedOn w:val="Normal"/>
    <w:link w:val="PiedepginaCar"/>
    <w:uiPriority w:val="99"/>
    <w:rsid w:val="000C1358"/>
    <w:pPr>
      <w:tabs>
        <w:tab w:val="center" w:pos="4252"/>
        <w:tab w:val="right" w:pos="8504"/>
      </w:tabs>
    </w:pPr>
  </w:style>
  <w:style w:type="character" w:customStyle="1" w:styleId="PiedepginaCar">
    <w:name w:val="Pie de página Car"/>
    <w:basedOn w:val="Fuentedeprrafopredeter"/>
    <w:link w:val="Piedepgina"/>
    <w:uiPriority w:val="99"/>
    <w:semiHidden/>
    <w:locked/>
    <w:rsid w:val="00C86210"/>
    <w:rPr>
      <w:rFonts w:cs="Times New Roman"/>
      <w:sz w:val="24"/>
      <w:szCs w:val="24"/>
    </w:rPr>
  </w:style>
  <w:style w:type="paragraph" w:styleId="Textodeglobo">
    <w:name w:val="Balloon Text"/>
    <w:basedOn w:val="Normal"/>
    <w:link w:val="TextodegloboCar"/>
    <w:uiPriority w:val="99"/>
    <w:semiHidden/>
    <w:rsid w:val="00A16C5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86210"/>
    <w:rPr>
      <w:rFonts w:cs="Times New Roman"/>
      <w:sz w:val="2"/>
    </w:rPr>
  </w:style>
  <w:style w:type="paragraph" w:customStyle="1" w:styleId="Secretara">
    <w:name w:val="Secretaría"/>
    <w:basedOn w:val="Normal"/>
    <w:uiPriority w:val="99"/>
    <w:rsid w:val="0008540A"/>
    <w:pPr>
      <w:suppressAutoHyphens/>
      <w:spacing w:after="120"/>
      <w:ind w:firstLine="851"/>
    </w:pPr>
    <w:rPr>
      <w:kern w:val="1"/>
      <w:szCs w:val="20"/>
      <w:lang w:eastAsia="ar-SA"/>
    </w:rPr>
  </w:style>
  <w:style w:type="paragraph" w:styleId="Prrafodelista">
    <w:name w:val="List Paragraph"/>
    <w:basedOn w:val="Normal"/>
    <w:uiPriority w:val="34"/>
    <w:qFormat/>
    <w:rsid w:val="00CD0DA1"/>
    <w:pPr>
      <w:ind w:left="720"/>
      <w:contextualSpacing/>
    </w:pPr>
  </w:style>
</w:styles>
</file>

<file path=word/webSettings.xml><?xml version="1.0" encoding="utf-8"?>
<w:webSettings xmlns:r="http://schemas.openxmlformats.org/officeDocument/2006/relationships" xmlns:w="http://schemas.openxmlformats.org/wordprocessingml/2006/main">
  <w:divs>
    <w:div w:id="91126611">
      <w:marLeft w:val="0"/>
      <w:marRight w:val="0"/>
      <w:marTop w:val="0"/>
      <w:marBottom w:val="0"/>
      <w:divBdr>
        <w:top w:val="none" w:sz="0" w:space="0" w:color="auto"/>
        <w:left w:val="none" w:sz="0" w:space="0" w:color="auto"/>
        <w:bottom w:val="none" w:sz="0" w:space="0" w:color="auto"/>
        <w:right w:val="none" w:sz="0" w:space="0" w:color="auto"/>
      </w:divBdr>
    </w:div>
    <w:div w:id="91126612">
      <w:marLeft w:val="0"/>
      <w:marRight w:val="0"/>
      <w:marTop w:val="0"/>
      <w:marBottom w:val="0"/>
      <w:divBdr>
        <w:top w:val="none" w:sz="0" w:space="0" w:color="auto"/>
        <w:left w:val="none" w:sz="0" w:space="0" w:color="auto"/>
        <w:bottom w:val="none" w:sz="0" w:space="0" w:color="auto"/>
        <w:right w:val="none" w:sz="0" w:space="0" w:color="auto"/>
      </w:divBdr>
    </w:div>
    <w:div w:id="91126613">
      <w:marLeft w:val="0"/>
      <w:marRight w:val="0"/>
      <w:marTop w:val="0"/>
      <w:marBottom w:val="0"/>
      <w:divBdr>
        <w:top w:val="none" w:sz="0" w:space="0" w:color="auto"/>
        <w:left w:val="none" w:sz="0" w:space="0" w:color="auto"/>
        <w:bottom w:val="none" w:sz="0" w:space="0" w:color="auto"/>
        <w:right w:val="none" w:sz="0" w:space="0" w:color="auto"/>
      </w:divBdr>
    </w:div>
    <w:div w:id="91126614">
      <w:marLeft w:val="0"/>
      <w:marRight w:val="0"/>
      <w:marTop w:val="0"/>
      <w:marBottom w:val="0"/>
      <w:divBdr>
        <w:top w:val="none" w:sz="0" w:space="0" w:color="auto"/>
        <w:left w:val="none" w:sz="0" w:space="0" w:color="auto"/>
        <w:bottom w:val="none" w:sz="0" w:space="0" w:color="auto"/>
        <w:right w:val="none" w:sz="0" w:space="0" w:color="auto"/>
      </w:divBdr>
    </w:div>
    <w:div w:id="91126615">
      <w:marLeft w:val="0"/>
      <w:marRight w:val="0"/>
      <w:marTop w:val="0"/>
      <w:marBottom w:val="0"/>
      <w:divBdr>
        <w:top w:val="none" w:sz="0" w:space="0" w:color="auto"/>
        <w:left w:val="none" w:sz="0" w:space="0" w:color="auto"/>
        <w:bottom w:val="none" w:sz="0" w:space="0" w:color="auto"/>
        <w:right w:val="none" w:sz="0" w:space="0" w:color="auto"/>
      </w:divBdr>
    </w:div>
    <w:div w:id="91126616">
      <w:marLeft w:val="0"/>
      <w:marRight w:val="0"/>
      <w:marTop w:val="0"/>
      <w:marBottom w:val="0"/>
      <w:divBdr>
        <w:top w:val="none" w:sz="0" w:space="0" w:color="auto"/>
        <w:left w:val="none" w:sz="0" w:space="0" w:color="auto"/>
        <w:bottom w:val="none" w:sz="0" w:space="0" w:color="auto"/>
        <w:right w:val="none" w:sz="0" w:space="0" w:color="auto"/>
      </w:divBdr>
    </w:div>
    <w:div w:id="91126617">
      <w:marLeft w:val="0"/>
      <w:marRight w:val="0"/>
      <w:marTop w:val="0"/>
      <w:marBottom w:val="0"/>
      <w:divBdr>
        <w:top w:val="none" w:sz="0" w:space="0" w:color="auto"/>
        <w:left w:val="none" w:sz="0" w:space="0" w:color="auto"/>
        <w:bottom w:val="none" w:sz="0" w:space="0" w:color="auto"/>
        <w:right w:val="none" w:sz="0" w:space="0" w:color="auto"/>
      </w:divBdr>
    </w:div>
    <w:div w:id="91126618">
      <w:marLeft w:val="0"/>
      <w:marRight w:val="0"/>
      <w:marTop w:val="0"/>
      <w:marBottom w:val="0"/>
      <w:divBdr>
        <w:top w:val="none" w:sz="0" w:space="0" w:color="auto"/>
        <w:left w:val="none" w:sz="0" w:space="0" w:color="auto"/>
        <w:bottom w:val="none" w:sz="0" w:space="0" w:color="auto"/>
        <w:right w:val="none" w:sz="0" w:space="0" w:color="auto"/>
      </w:divBdr>
    </w:div>
    <w:div w:id="91126619">
      <w:marLeft w:val="0"/>
      <w:marRight w:val="0"/>
      <w:marTop w:val="0"/>
      <w:marBottom w:val="0"/>
      <w:divBdr>
        <w:top w:val="none" w:sz="0" w:space="0" w:color="auto"/>
        <w:left w:val="none" w:sz="0" w:space="0" w:color="auto"/>
        <w:bottom w:val="none" w:sz="0" w:space="0" w:color="auto"/>
        <w:right w:val="none" w:sz="0" w:space="0" w:color="auto"/>
      </w:divBdr>
    </w:div>
    <w:div w:id="91126620">
      <w:marLeft w:val="0"/>
      <w:marRight w:val="0"/>
      <w:marTop w:val="0"/>
      <w:marBottom w:val="0"/>
      <w:divBdr>
        <w:top w:val="none" w:sz="0" w:space="0" w:color="auto"/>
        <w:left w:val="none" w:sz="0" w:space="0" w:color="auto"/>
        <w:bottom w:val="none" w:sz="0" w:space="0" w:color="auto"/>
        <w:right w:val="none" w:sz="0" w:space="0" w:color="auto"/>
      </w:divBdr>
    </w:div>
    <w:div w:id="641152645">
      <w:bodyDiv w:val="1"/>
      <w:marLeft w:val="0"/>
      <w:marRight w:val="0"/>
      <w:marTop w:val="0"/>
      <w:marBottom w:val="0"/>
      <w:divBdr>
        <w:top w:val="none" w:sz="0" w:space="0" w:color="auto"/>
        <w:left w:val="none" w:sz="0" w:space="0" w:color="auto"/>
        <w:bottom w:val="none" w:sz="0" w:space="0" w:color="auto"/>
        <w:right w:val="none" w:sz="0" w:space="0" w:color="auto"/>
      </w:divBdr>
    </w:div>
    <w:div w:id="1222330726">
      <w:bodyDiv w:val="1"/>
      <w:marLeft w:val="0"/>
      <w:marRight w:val="0"/>
      <w:marTop w:val="0"/>
      <w:marBottom w:val="0"/>
      <w:divBdr>
        <w:top w:val="none" w:sz="0" w:space="0" w:color="auto"/>
        <w:left w:val="none" w:sz="0" w:space="0" w:color="auto"/>
        <w:bottom w:val="none" w:sz="0" w:space="0" w:color="auto"/>
        <w:right w:val="none" w:sz="0" w:space="0" w:color="auto"/>
      </w:divBdr>
    </w:div>
    <w:div w:id="12728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emf"/><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emf"/><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emf"/><Relationship Id="rId28" Type="http://schemas.openxmlformats.org/officeDocument/2006/relationships/image" Target="media/image14.emf"/><Relationship Id="rId10" Type="http://schemas.openxmlformats.org/officeDocument/2006/relationships/package" Target="embeddings/Libro_de_Microsoft_Office_Excel_20071.xlsx"/><Relationship Id="rId19" Type="http://schemas.openxmlformats.org/officeDocument/2006/relationships/image" Target="media/image5.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8073EE-58AC-44C2-A280-8960FBAA0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23</Pages>
  <Words>6869</Words>
  <Characters>37837</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agarcia</dc:creator>
  <cp:lastModifiedBy>Ana Belén Felipe Herrera</cp:lastModifiedBy>
  <cp:revision>55</cp:revision>
  <cp:lastPrinted>2017-03-22T17:41:00Z</cp:lastPrinted>
  <dcterms:created xsi:type="dcterms:W3CDTF">2017-03-16T14:00:00Z</dcterms:created>
  <dcterms:modified xsi:type="dcterms:W3CDTF">2017-03-22T19:04:00Z</dcterms:modified>
</cp:coreProperties>
</file>