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A" w:rsidRPr="00BE42BA" w:rsidRDefault="00BE42BA" w:rsidP="00BE42BA">
      <w:pPr>
        <w:rPr>
          <w:u w:val="single"/>
        </w:rPr>
      </w:pPr>
      <w:r w:rsidRPr="00BE42BA">
        <w:rPr>
          <w:u w:val="single"/>
        </w:rPr>
        <w:t>Capital social</w:t>
      </w:r>
      <w:bookmarkStart w:id="0" w:name="_GoBack"/>
      <w:bookmarkEnd w:id="0"/>
    </w:p>
    <w:p w:rsidR="00ED6C00" w:rsidRDefault="00BE42BA" w:rsidP="00BE42BA">
      <w:r>
        <w:t>El Capital Social de la Sociedad al cierre del ejercicio 2019 y 2018 es de 1.003.000,00 euros dividido en 1.003.000 participaciones, iguales, acumulables e indivisibles, de 1,00 euro de valor nominal, numeradas de la 1 a la 1.003.000, ambas inclusive, totalmente suscritas y desembolsadas por el socio único.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A"/>
    <w:rsid w:val="008E1F4A"/>
    <w:rsid w:val="00BE42B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2021-11-04T10:33:00Z</dcterms:created>
  <dcterms:modified xsi:type="dcterms:W3CDTF">2021-11-04T10:34:00Z</dcterms:modified>
</cp:coreProperties>
</file>