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3" w:rsidRDefault="005E0323" w:rsidP="005E0323">
      <w:pPr>
        <w:rPr>
          <w:b/>
          <w:u w:val="single"/>
        </w:rPr>
      </w:pPr>
    </w:p>
    <w:p w:rsidR="005E0323" w:rsidRDefault="005E0323" w:rsidP="005E0323">
      <w:pPr>
        <w:rPr>
          <w:b/>
          <w:u w:val="single"/>
        </w:rPr>
      </w:pPr>
      <w:r>
        <w:rPr>
          <w:b/>
          <w:u w:val="single"/>
        </w:rPr>
        <w:t>CANALINK BAHARICOM S.L.U.</w:t>
      </w:r>
    </w:p>
    <w:p w:rsidR="005E0323" w:rsidRPr="005E0323" w:rsidRDefault="005E0323" w:rsidP="005E0323">
      <w:pPr>
        <w:rPr>
          <w:b/>
          <w:u w:val="single"/>
        </w:rPr>
      </w:pPr>
      <w:r w:rsidRPr="005E0323">
        <w:rPr>
          <w:b/>
          <w:u w:val="single"/>
        </w:rPr>
        <w:t>Competencias y funciones</w:t>
      </w:r>
      <w:bookmarkStart w:id="0" w:name="_GoBack"/>
      <w:bookmarkEnd w:id="0"/>
    </w:p>
    <w:p w:rsidR="005E0323" w:rsidRDefault="005E0323" w:rsidP="005E0323">
      <w:r>
        <w:t>Las competencias y funciones del Socio Único son las previstas en el ARTÍCULO 160 DEL Real Decreto Legislativo 1/2010, de 2 de julio, por el que se aprueba el texto refundido de la Ley de Sociedades de Capital:</w:t>
      </w:r>
    </w:p>
    <w:p w:rsidR="005E0323" w:rsidRDefault="005E0323" w:rsidP="005E0323">
      <w:r>
        <w:t>Es competencia de la junta general deliberar y acordar sobre los siguientes asuntos:</w:t>
      </w:r>
    </w:p>
    <w:p w:rsidR="005E0323" w:rsidRDefault="005E0323" w:rsidP="005E0323">
      <w:r>
        <w:t>a) La aprobación de las cuentas anuales, la aplicación del resultado y la aprobación de la gestión social.</w:t>
      </w:r>
    </w:p>
    <w:p w:rsidR="005E0323" w:rsidRDefault="005E0323" w:rsidP="005E0323">
      <w:r>
        <w:t>b) El nombramiento y separación de los administradores, de los liquidadores y, en su caso, de los auditores de cuentas, así como el ejercicio de la acción social de responsabilidad contra cualquiera de ellos.</w:t>
      </w:r>
    </w:p>
    <w:p w:rsidR="005E0323" w:rsidRDefault="005E0323" w:rsidP="005E0323">
      <w:r>
        <w:t>c) La modificación de los estatutos sociales.</w:t>
      </w:r>
    </w:p>
    <w:p w:rsidR="005E0323" w:rsidRDefault="005E0323" w:rsidP="005E0323">
      <w:r>
        <w:t>d) El aumento y la reducción del capital social.</w:t>
      </w:r>
    </w:p>
    <w:p w:rsidR="005E0323" w:rsidRDefault="005E0323" w:rsidP="005E0323">
      <w:r>
        <w:t>e) La supresión o limitación del derecho de suscripción preferente y de asunción preferente.</w:t>
      </w:r>
    </w:p>
    <w:p w:rsidR="005E0323" w:rsidRDefault="005E0323" w:rsidP="005E0323">
      <w:r>
        <w:t>f) La adquisición, la enajenación o la aportación a otra sociedad de activos esenciales. Se presume el carácter esencial del activo cuando el importe de la operación supere el veinticinco por ciento del valor de los activos que figuren en el último balance aprobado.</w:t>
      </w:r>
    </w:p>
    <w:p w:rsidR="005E0323" w:rsidRDefault="005E0323" w:rsidP="005E0323">
      <w:r>
        <w:t>g) La transformación, la fusión, la escisión o la cesión global de activo y pasivo y el traslado de domicilio al extranjero.</w:t>
      </w:r>
    </w:p>
    <w:p w:rsidR="005E0323" w:rsidRDefault="005E0323" w:rsidP="005E0323">
      <w:r>
        <w:t>h) La disolución de la sociedad.</w:t>
      </w:r>
    </w:p>
    <w:p w:rsidR="005E0323" w:rsidRDefault="005E0323" w:rsidP="005E0323">
      <w:r>
        <w:t>i) La aprobación del balance final de liquidación.</w:t>
      </w:r>
    </w:p>
    <w:p w:rsidR="005E0323" w:rsidRDefault="005E0323" w:rsidP="005E0323">
      <w:r>
        <w:t>j) Cualesquiera otros asuntos que determinen la ley o los estatutos.</w:t>
      </w:r>
    </w:p>
    <w:p w:rsidR="00ED6C00" w:rsidRDefault="005E0323" w:rsidP="005E0323">
      <w:r>
        <w:t>Las competencias y funciones del administrador único son las previstas en el Real Decreto Legislativo 1/2010, de 2 de julio, por el que se aprueba el texto refundido de la Ley de Sociedades de Capital.</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3"/>
    <w:rsid w:val="005E0323"/>
    <w:rsid w:val="008E1F4A"/>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1</cp:revision>
  <dcterms:created xsi:type="dcterms:W3CDTF">2021-11-08T10:24:00Z</dcterms:created>
  <dcterms:modified xsi:type="dcterms:W3CDTF">2021-11-08T10:25:00Z</dcterms:modified>
</cp:coreProperties>
</file>